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519A0">
        <w:rPr>
          <w:b/>
          <w:sz w:val="26"/>
          <w:szCs w:val="26"/>
        </w:rPr>
        <w:t>июл</w:t>
      </w:r>
      <w:r w:rsidR="005A3C74">
        <w:rPr>
          <w:b/>
          <w:sz w:val="26"/>
          <w:szCs w:val="26"/>
        </w:rPr>
        <w:t>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519A0">
        <w:rPr>
          <w:b/>
          <w:sz w:val="26"/>
          <w:szCs w:val="26"/>
        </w:rPr>
        <w:t>июл</w:t>
      </w:r>
      <w:r w:rsidR="005A3C74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1519A0">
        <w:rPr>
          <w:b/>
          <w:sz w:val="26"/>
          <w:szCs w:val="26"/>
        </w:rPr>
        <w:t>22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1519A0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1519A0">
        <w:rPr>
          <w:i/>
          <w:sz w:val="26"/>
          <w:szCs w:val="26"/>
        </w:rPr>
        <w:t>(в июне</w:t>
      </w:r>
      <w:r w:rsidR="001D56A1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1519A0">
        <w:rPr>
          <w:i/>
          <w:sz w:val="26"/>
          <w:szCs w:val="26"/>
        </w:rPr>
        <w:t>19</w:t>
      </w:r>
      <w:r w:rsidR="00973748"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1519A0">
        <w:rPr>
          <w:i/>
          <w:sz w:val="26"/>
          <w:szCs w:val="26"/>
        </w:rPr>
        <w:t>35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519A0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519A0">
        <w:rPr>
          <w:i/>
          <w:sz w:val="26"/>
          <w:szCs w:val="26"/>
        </w:rPr>
        <w:t>июне</w:t>
      </w:r>
      <w:r w:rsidR="001D56A1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519A0">
        <w:rPr>
          <w:i/>
          <w:sz w:val="26"/>
          <w:szCs w:val="26"/>
        </w:rPr>
        <w:t>17</w:t>
      </w:r>
      <w:r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519A0">
        <w:rPr>
          <w:i/>
          <w:sz w:val="26"/>
          <w:szCs w:val="26"/>
        </w:rPr>
        <w:t>18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1519A0">
        <w:rPr>
          <w:b/>
          <w:sz w:val="26"/>
          <w:szCs w:val="26"/>
        </w:rPr>
        <w:t>5</w:t>
      </w:r>
      <w:r w:rsidR="001519A0">
        <w:rPr>
          <w:i/>
          <w:sz w:val="26"/>
          <w:szCs w:val="26"/>
        </w:rPr>
        <w:t xml:space="preserve"> (в июне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1519A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519A0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1519A0">
        <w:rPr>
          <w:b/>
          <w:sz w:val="26"/>
          <w:szCs w:val="26"/>
        </w:rPr>
        <w:t>7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519A0">
        <w:rPr>
          <w:i/>
          <w:sz w:val="26"/>
          <w:szCs w:val="26"/>
        </w:rPr>
        <w:t>июне</w:t>
      </w:r>
      <w:r w:rsidR="001D56A1">
        <w:rPr>
          <w:i/>
          <w:sz w:val="26"/>
          <w:szCs w:val="26"/>
        </w:rPr>
        <w:t xml:space="preserve">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1519A0">
        <w:rPr>
          <w:i/>
          <w:sz w:val="26"/>
          <w:szCs w:val="26"/>
        </w:rPr>
        <w:t>0; в июл</w:t>
      </w:r>
      <w:r w:rsidR="005A3C74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519A0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1519A0">
        <w:rPr>
          <w:b/>
          <w:sz w:val="26"/>
          <w:szCs w:val="26"/>
        </w:rPr>
        <w:t>3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519A0">
        <w:rPr>
          <w:i/>
          <w:sz w:val="26"/>
          <w:szCs w:val="26"/>
        </w:rPr>
        <w:t>июне</w:t>
      </w:r>
      <w:r w:rsidR="00DB62C5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519A0">
        <w:rPr>
          <w:i/>
          <w:sz w:val="26"/>
          <w:szCs w:val="26"/>
        </w:rPr>
        <w:t>0; в июл</w:t>
      </w:r>
      <w:r w:rsidR="005A3C74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A3C7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467A6">
        <w:rPr>
          <w:sz w:val="26"/>
          <w:szCs w:val="26"/>
        </w:rPr>
        <w:t>июнем</w:t>
      </w:r>
      <w:r w:rsidR="00317A0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A467A6">
        <w:rPr>
          <w:sz w:val="26"/>
          <w:szCs w:val="26"/>
        </w:rPr>
        <w:t xml:space="preserve"> увеличилось на 3 обращения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A3C74">
        <w:rPr>
          <w:sz w:val="26"/>
          <w:szCs w:val="26"/>
        </w:rPr>
        <w:t>и</w:t>
      </w:r>
      <w:r w:rsidR="005A3C74">
        <w:rPr>
          <w:sz w:val="26"/>
          <w:szCs w:val="26"/>
        </w:rPr>
        <w:t>ю</w:t>
      </w:r>
      <w:r w:rsidR="00A467A6">
        <w:rPr>
          <w:sz w:val="26"/>
          <w:szCs w:val="26"/>
        </w:rPr>
        <w:t>л</w:t>
      </w:r>
      <w:r w:rsidR="005A3C74">
        <w:rPr>
          <w:sz w:val="26"/>
          <w:szCs w:val="26"/>
        </w:rPr>
        <w:t>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A467A6">
        <w:rPr>
          <w:sz w:val="26"/>
          <w:szCs w:val="26"/>
        </w:rPr>
        <w:t>13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5A3C7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A467A6">
        <w:rPr>
          <w:b/>
          <w:sz w:val="26"/>
          <w:szCs w:val="26"/>
        </w:rPr>
        <w:t>22</w:t>
      </w:r>
      <w:r w:rsidR="00C9022A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A467A6">
        <w:rPr>
          <w:b/>
          <w:sz w:val="26"/>
          <w:szCs w:val="26"/>
        </w:rPr>
        <w:t>22</w:t>
      </w:r>
      <w:r w:rsidRPr="0009107B">
        <w:rPr>
          <w:sz w:val="26"/>
          <w:szCs w:val="26"/>
        </w:rPr>
        <w:t xml:space="preserve"> вопрос</w:t>
      </w:r>
      <w:r w:rsidR="00A467A6">
        <w:rPr>
          <w:sz w:val="26"/>
          <w:szCs w:val="26"/>
        </w:rPr>
        <w:t>а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A467A6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A467A6">
        <w:rPr>
          <w:sz w:val="26"/>
          <w:szCs w:val="26"/>
        </w:rPr>
        <w:t>14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A467A6"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 w:rsidR="00A467A6">
        <w:rPr>
          <w:sz w:val="26"/>
          <w:szCs w:val="26"/>
        </w:rPr>
        <w:t>32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467A6">
        <w:rPr>
          <w:sz w:val="26"/>
          <w:szCs w:val="26"/>
        </w:rPr>
        <w:t>12</w:t>
      </w:r>
      <w:r>
        <w:rPr>
          <w:sz w:val="26"/>
          <w:szCs w:val="26"/>
        </w:rPr>
        <w:t xml:space="preserve"> (</w:t>
      </w:r>
      <w:r w:rsidR="00A467A6">
        <w:rPr>
          <w:sz w:val="26"/>
          <w:szCs w:val="26"/>
        </w:rPr>
        <w:t>54</w:t>
      </w:r>
      <w:r w:rsidR="0023065D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A3C7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A3C74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23065D">
        <w:rPr>
          <w:sz w:val="26"/>
          <w:szCs w:val="26"/>
        </w:rPr>
        <w:t xml:space="preserve"> 0 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022A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467A6">
        <w:rPr>
          <w:sz w:val="26"/>
          <w:szCs w:val="26"/>
        </w:rPr>
        <w:t>июл</w:t>
      </w:r>
      <w:r w:rsidR="000546E6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546E6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467A6">
        <w:rPr>
          <w:i/>
          <w:sz w:val="26"/>
          <w:szCs w:val="26"/>
        </w:rPr>
        <w:t>июне</w:t>
      </w:r>
      <w:r w:rsidR="000546E6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A467A6">
        <w:rPr>
          <w:i/>
          <w:sz w:val="26"/>
          <w:szCs w:val="26"/>
        </w:rPr>
        <w:t>17</w:t>
      </w:r>
      <w:r w:rsidR="00221608" w:rsidRPr="00220798">
        <w:rPr>
          <w:i/>
          <w:sz w:val="26"/>
          <w:szCs w:val="26"/>
        </w:rPr>
        <w:t xml:space="preserve">; в </w:t>
      </w:r>
      <w:r w:rsidR="00A467A6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A467A6">
        <w:rPr>
          <w:i/>
          <w:sz w:val="26"/>
          <w:szCs w:val="26"/>
        </w:rPr>
        <w:t>18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467A6">
        <w:rPr>
          <w:sz w:val="26"/>
          <w:szCs w:val="26"/>
        </w:rPr>
        <w:t>июнем</w:t>
      </w:r>
      <w:r w:rsidR="00893395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467A6">
        <w:rPr>
          <w:bCs/>
          <w:sz w:val="26"/>
          <w:szCs w:val="26"/>
        </w:rPr>
        <w:t>енных обращений уменьшилось на 10</w:t>
      </w:r>
      <w:r w:rsidR="00286A7F">
        <w:rPr>
          <w:bCs/>
          <w:sz w:val="26"/>
          <w:szCs w:val="26"/>
        </w:rPr>
        <w:t xml:space="preserve"> обраще</w:t>
      </w:r>
      <w:r w:rsidR="00C9022A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A467A6">
        <w:rPr>
          <w:sz w:val="26"/>
          <w:szCs w:val="26"/>
        </w:rPr>
        <w:t>июл</w:t>
      </w:r>
      <w:r w:rsidR="000546E6">
        <w:rPr>
          <w:sz w:val="26"/>
          <w:szCs w:val="26"/>
        </w:rPr>
        <w:t>ем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A467A6">
        <w:rPr>
          <w:sz w:val="26"/>
          <w:szCs w:val="26"/>
        </w:rPr>
        <w:t>уменьшилось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A467A6">
        <w:rPr>
          <w:sz w:val="26"/>
          <w:szCs w:val="26"/>
        </w:rPr>
        <w:t xml:space="preserve"> 11</w:t>
      </w:r>
      <w:r w:rsidR="00893395">
        <w:rPr>
          <w:sz w:val="26"/>
          <w:szCs w:val="26"/>
        </w:rPr>
        <w:t xml:space="preserve"> обра</w:t>
      </w:r>
      <w:r w:rsidR="00A467A6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546E6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6E4AEF">
        <w:rPr>
          <w:i/>
          <w:sz w:val="26"/>
          <w:szCs w:val="26"/>
        </w:rPr>
        <w:t>июне</w:t>
      </w:r>
      <w:r w:rsidR="0089339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6E4AEF">
        <w:rPr>
          <w:i/>
          <w:sz w:val="26"/>
          <w:szCs w:val="26"/>
        </w:rPr>
        <w:t>17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6E4AEF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6E4AEF">
        <w:rPr>
          <w:i/>
          <w:sz w:val="26"/>
          <w:szCs w:val="26"/>
        </w:rPr>
        <w:t>18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0C3E05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5A5578" w:rsidRDefault="000E2400" w:rsidP="009D69B7">
      <w:pPr>
        <w:ind w:firstLine="567"/>
        <w:jc w:val="both"/>
        <w:rPr>
          <w:sz w:val="26"/>
          <w:szCs w:val="26"/>
        </w:rPr>
      </w:pPr>
      <w:r w:rsidRPr="005A5578">
        <w:rPr>
          <w:sz w:val="26"/>
          <w:szCs w:val="26"/>
        </w:rPr>
        <w:t xml:space="preserve">В </w:t>
      </w:r>
      <w:r w:rsidR="000C2E73" w:rsidRPr="005A5578">
        <w:rPr>
          <w:b/>
          <w:sz w:val="26"/>
          <w:szCs w:val="26"/>
        </w:rPr>
        <w:t>7</w:t>
      </w:r>
      <w:r w:rsidR="0071538E" w:rsidRPr="005A5578">
        <w:rPr>
          <w:b/>
          <w:sz w:val="26"/>
          <w:szCs w:val="26"/>
        </w:rPr>
        <w:t xml:space="preserve"> </w:t>
      </w:r>
      <w:r w:rsidRPr="005A5578">
        <w:rPr>
          <w:sz w:val="26"/>
          <w:szCs w:val="26"/>
        </w:rPr>
        <w:t xml:space="preserve">письменных обращениях содержатся </w:t>
      </w:r>
      <w:r w:rsidR="000C2E73" w:rsidRPr="005A5578">
        <w:rPr>
          <w:b/>
          <w:sz w:val="26"/>
          <w:szCs w:val="26"/>
        </w:rPr>
        <w:t>7</w:t>
      </w:r>
      <w:r w:rsidRPr="005A5578">
        <w:rPr>
          <w:sz w:val="26"/>
          <w:szCs w:val="26"/>
        </w:rPr>
        <w:t xml:space="preserve"> вопрос</w:t>
      </w:r>
      <w:r w:rsidR="00CE0F9D" w:rsidRPr="005A5578">
        <w:rPr>
          <w:sz w:val="26"/>
          <w:szCs w:val="26"/>
        </w:rPr>
        <w:t>ов</w:t>
      </w:r>
      <w:r w:rsidRPr="005A5578">
        <w:rPr>
          <w:sz w:val="26"/>
          <w:szCs w:val="26"/>
        </w:rPr>
        <w:t xml:space="preserve">, </w:t>
      </w:r>
      <w:proofErr w:type="gramStart"/>
      <w:r w:rsidRPr="005A5578">
        <w:rPr>
          <w:sz w:val="26"/>
          <w:szCs w:val="26"/>
        </w:rPr>
        <w:t>относящиеся</w:t>
      </w:r>
      <w:proofErr w:type="gramEnd"/>
      <w:r w:rsidRPr="005A5578">
        <w:rPr>
          <w:sz w:val="26"/>
          <w:szCs w:val="26"/>
        </w:rPr>
        <w:t xml:space="preserve"> к тематич</w:t>
      </w:r>
      <w:r w:rsidRPr="005A5578">
        <w:rPr>
          <w:sz w:val="26"/>
          <w:szCs w:val="26"/>
        </w:rPr>
        <w:t>е</w:t>
      </w:r>
      <w:r w:rsidRPr="005A5578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>
        <w:rPr>
          <w:sz w:val="26"/>
          <w:szCs w:val="26"/>
        </w:rPr>
        <w:t xml:space="preserve"> </w:t>
      </w:r>
      <w:r w:rsidR="00D953AA">
        <w:rPr>
          <w:sz w:val="26"/>
          <w:szCs w:val="26"/>
        </w:rPr>
        <w:t>- 0</w:t>
      </w:r>
      <w:r>
        <w:rPr>
          <w:sz w:val="26"/>
          <w:szCs w:val="26"/>
        </w:rPr>
        <w:t>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0C2E73">
        <w:rPr>
          <w:sz w:val="26"/>
          <w:szCs w:val="26"/>
        </w:rPr>
        <w:t>сфера</w:t>
      </w:r>
      <w:r w:rsidR="005A5578">
        <w:rPr>
          <w:sz w:val="26"/>
          <w:szCs w:val="26"/>
        </w:rPr>
        <w:t xml:space="preserve"> </w:t>
      </w:r>
      <w:r w:rsidR="000C2E73">
        <w:rPr>
          <w:sz w:val="26"/>
          <w:szCs w:val="26"/>
        </w:rPr>
        <w:t xml:space="preserve">– </w:t>
      </w:r>
      <w:r w:rsidR="005A5578">
        <w:rPr>
          <w:sz w:val="26"/>
          <w:szCs w:val="26"/>
        </w:rPr>
        <w:t xml:space="preserve">0; 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5A5578">
        <w:rPr>
          <w:sz w:val="26"/>
          <w:szCs w:val="26"/>
        </w:rPr>
        <w:t>3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5A5578">
        <w:rPr>
          <w:sz w:val="26"/>
          <w:szCs w:val="26"/>
        </w:rPr>
        <w:t>43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>4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5A5578">
        <w:rPr>
          <w:sz w:val="26"/>
          <w:szCs w:val="26"/>
        </w:rPr>
        <w:t>57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 0.</w:t>
      </w:r>
    </w:p>
    <w:p w:rsidR="004F4188" w:rsidRPr="0071645B" w:rsidRDefault="0098058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5A5578">
                    <w:rPr>
                      <w:b/>
                    </w:rPr>
                    <w:t xml:space="preserve"> района в июл</w:t>
                  </w:r>
                  <w:r w:rsidR="000C2E73">
                    <w:rPr>
                      <w:b/>
                    </w:rPr>
                    <w:t>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A5578">
                    <w:rPr>
                      <w:b/>
                    </w:rPr>
                    <w:t>июнем</w:t>
                  </w:r>
                  <w:r w:rsidR="006D4B3E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A5578">
                    <w:rPr>
                      <w:b/>
                    </w:rPr>
                    <w:t>июл</w:t>
                  </w:r>
                  <w:r w:rsidR="000C2E73">
                    <w:rPr>
                      <w:b/>
                    </w:rPr>
                    <w:t>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0C2E73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17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18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0C2E73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791693">
        <w:rPr>
          <w:i/>
          <w:sz w:val="26"/>
          <w:szCs w:val="26"/>
        </w:rPr>
        <w:t xml:space="preserve"> </w:t>
      </w:r>
      <w:r w:rsidR="0052711A">
        <w:rPr>
          <w:i/>
          <w:sz w:val="26"/>
          <w:szCs w:val="26"/>
        </w:rPr>
        <w:t>2020</w:t>
      </w:r>
      <w:r w:rsidR="0052711A"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17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52711A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201</w:t>
      </w:r>
      <w:r w:rsidR="0052711A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18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5A5578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D60FC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18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5A5578">
        <w:rPr>
          <w:sz w:val="26"/>
          <w:szCs w:val="26"/>
        </w:rPr>
        <w:t>июл</w:t>
      </w:r>
      <w:r w:rsidR="000C2E73">
        <w:rPr>
          <w:sz w:val="26"/>
          <w:szCs w:val="26"/>
        </w:rPr>
        <w:t>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5A5578">
        <w:rPr>
          <w:sz w:val="26"/>
          <w:szCs w:val="26"/>
        </w:rPr>
        <w:t>обратилось 5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5A5578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; в </w:t>
      </w:r>
      <w:r w:rsidR="005A5578">
        <w:rPr>
          <w:i/>
          <w:sz w:val="26"/>
          <w:szCs w:val="26"/>
        </w:rPr>
        <w:t>июл</w:t>
      </w:r>
      <w:r w:rsidR="001463E7">
        <w:rPr>
          <w:i/>
          <w:sz w:val="26"/>
          <w:szCs w:val="26"/>
        </w:rPr>
        <w:t>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7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303615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 xml:space="preserve">поступило 3 </w:t>
      </w:r>
      <w:r w:rsidRPr="00220798">
        <w:rPr>
          <w:sz w:val="26"/>
          <w:szCs w:val="26"/>
        </w:rPr>
        <w:t>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256D5D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A9468E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5A5578">
        <w:rPr>
          <w:i/>
          <w:sz w:val="26"/>
          <w:szCs w:val="26"/>
        </w:rPr>
        <w:t>июл</w:t>
      </w:r>
      <w:r w:rsidR="00256D5D">
        <w:rPr>
          <w:i/>
          <w:sz w:val="26"/>
          <w:szCs w:val="26"/>
        </w:rPr>
        <w:t>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256D5D">
        <w:rPr>
          <w:i/>
          <w:sz w:val="26"/>
          <w:szCs w:val="26"/>
        </w:rPr>
        <w:t>4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5A5578">
        <w:rPr>
          <w:sz w:val="26"/>
          <w:szCs w:val="26"/>
        </w:rPr>
        <w:t>июнем</w:t>
      </w:r>
      <w:r w:rsidR="00A9468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5A5578">
        <w:rPr>
          <w:sz w:val="26"/>
          <w:szCs w:val="26"/>
        </w:rPr>
        <w:t xml:space="preserve"> увеличилось на 3</w:t>
      </w:r>
      <w:r w:rsidR="00303615">
        <w:rPr>
          <w:sz w:val="26"/>
          <w:szCs w:val="26"/>
        </w:rPr>
        <w:t xml:space="preserve"> обращения</w:t>
      </w:r>
      <w:r>
        <w:rPr>
          <w:sz w:val="26"/>
          <w:szCs w:val="26"/>
        </w:rPr>
        <w:t>, а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256D5D">
        <w:rPr>
          <w:sz w:val="26"/>
          <w:szCs w:val="26"/>
        </w:rPr>
        <w:t>ию</w:t>
      </w:r>
      <w:r w:rsidR="005A5578">
        <w:rPr>
          <w:sz w:val="26"/>
          <w:szCs w:val="26"/>
        </w:rPr>
        <w:t>л</w:t>
      </w:r>
      <w:r w:rsidR="00256D5D">
        <w:rPr>
          <w:sz w:val="26"/>
          <w:szCs w:val="26"/>
        </w:rPr>
        <w:t>ем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5A5578">
        <w:rPr>
          <w:sz w:val="26"/>
          <w:szCs w:val="26"/>
        </w:rPr>
        <w:t xml:space="preserve"> уменьшилось на 1 обращение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5A5578">
        <w:rPr>
          <w:sz w:val="26"/>
          <w:szCs w:val="26"/>
        </w:rPr>
        <w:t xml:space="preserve">поступило 7 обращений </w:t>
      </w:r>
      <w:r w:rsidR="008A1C67"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F33DC9">
        <w:rPr>
          <w:i/>
          <w:sz w:val="26"/>
          <w:szCs w:val="26"/>
        </w:rPr>
        <w:t xml:space="preserve"> </w:t>
      </w:r>
      <w:r w:rsidR="00A9468E">
        <w:rPr>
          <w:i/>
          <w:sz w:val="26"/>
          <w:szCs w:val="26"/>
        </w:rPr>
        <w:t xml:space="preserve"> 2020</w:t>
      </w:r>
      <w:r w:rsidR="008A1C67"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5A5578">
        <w:rPr>
          <w:i/>
          <w:sz w:val="26"/>
          <w:szCs w:val="26"/>
        </w:rPr>
        <w:t>июл</w:t>
      </w:r>
      <w:r w:rsidR="00256D5D">
        <w:rPr>
          <w:i/>
          <w:sz w:val="26"/>
          <w:szCs w:val="26"/>
        </w:rPr>
        <w:t>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6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051B80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051B80">
        <w:rPr>
          <w:sz w:val="26"/>
          <w:szCs w:val="26"/>
        </w:rPr>
        <w:t>июнем</w:t>
      </w:r>
      <w:r w:rsidR="0067664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051B80">
        <w:rPr>
          <w:sz w:val="26"/>
          <w:szCs w:val="26"/>
        </w:rPr>
        <w:t>увеличилось на 7 обращений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</w:t>
      </w:r>
      <w:r w:rsidR="00E60197">
        <w:rPr>
          <w:sz w:val="26"/>
          <w:szCs w:val="26"/>
        </w:rPr>
        <w:t>в</w:t>
      </w:r>
      <w:r w:rsidR="00E60197">
        <w:rPr>
          <w:sz w:val="26"/>
          <w:szCs w:val="26"/>
        </w:rPr>
        <w:t>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</w:t>
      </w:r>
      <w:r w:rsidR="00051B80">
        <w:rPr>
          <w:sz w:val="26"/>
          <w:szCs w:val="26"/>
        </w:rPr>
        <w:t>л</w:t>
      </w:r>
      <w:r w:rsidR="00256D5D">
        <w:rPr>
          <w:sz w:val="26"/>
          <w:szCs w:val="26"/>
        </w:rPr>
        <w:t>ем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051B80">
        <w:rPr>
          <w:sz w:val="26"/>
          <w:szCs w:val="26"/>
        </w:rPr>
        <w:t>увеличилось на 1 обращение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051B80">
        <w:rPr>
          <w:sz w:val="26"/>
          <w:szCs w:val="26"/>
        </w:rPr>
        <w:t>8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051B80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</w:t>
      </w:r>
      <w:r w:rsidRPr="00B055AC">
        <w:rPr>
          <w:sz w:val="26"/>
          <w:szCs w:val="26"/>
        </w:rPr>
        <w:lastRenderedPageBreak/>
        <w:t xml:space="preserve">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051B80" w:rsidP="00A52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июле 2020 года специалист общественной приемной Главы </w:t>
      </w:r>
      <w:proofErr w:type="spellStart"/>
      <w:r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района прошла обучение  в Государственном автономном учреждении дополнительного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фессионального образования Новосибирской области «Центр оценки и развития 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ленческих компетенций» по дополнительной профессиональной программе повышения квалификации «Работа с обращениями граждан».</w:t>
      </w: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11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18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hape val="cylinder"/>
        <c:axId val="124863616"/>
        <c:axId val="124865152"/>
        <c:axId val="0"/>
      </c:bar3DChart>
      <c:catAx>
        <c:axId val="124863616"/>
        <c:scaling>
          <c:orientation val="minMax"/>
        </c:scaling>
        <c:axPos val="b"/>
        <c:tickLblPos val="nextTo"/>
        <c:crossAx val="124865152"/>
        <c:crosses val="autoZero"/>
        <c:auto val="1"/>
        <c:lblAlgn val="ctr"/>
        <c:lblOffset val="100"/>
      </c:catAx>
      <c:valAx>
        <c:axId val="124865152"/>
        <c:scaling>
          <c:orientation val="minMax"/>
        </c:scaling>
        <c:axPos val="l"/>
        <c:majorGridlines/>
        <c:numFmt formatCode="General" sourceLinked="1"/>
        <c:tickLblPos val="nextTo"/>
        <c:crossAx val="124863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</c:ser>
        <c:shape val="cylinder"/>
        <c:axId val="126726528"/>
        <c:axId val="7709056"/>
        <c:axId val="0"/>
      </c:bar3DChart>
      <c:catAx>
        <c:axId val="126726528"/>
        <c:scaling>
          <c:orientation val="minMax"/>
        </c:scaling>
        <c:axPos val="b"/>
        <c:tickLblPos val="nextTo"/>
        <c:crossAx val="7709056"/>
        <c:crosses val="autoZero"/>
        <c:auto val="1"/>
        <c:lblAlgn val="ctr"/>
        <c:lblOffset val="100"/>
      </c:catAx>
      <c:valAx>
        <c:axId val="770905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67265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2841472"/>
        <c:axId val="52843264"/>
        <c:axId val="0"/>
      </c:bar3DChart>
      <c:catAx>
        <c:axId val="52841472"/>
        <c:scaling>
          <c:orientation val="minMax"/>
        </c:scaling>
        <c:axPos val="b"/>
        <c:tickLblPos val="nextTo"/>
        <c:crossAx val="52843264"/>
        <c:crosses val="autoZero"/>
        <c:auto val="1"/>
        <c:lblAlgn val="ctr"/>
        <c:lblOffset val="100"/>
      </c:catAx>
      <c:valAx>
        <c:axId val="528432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284147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69"/>
          <c:y val="4.3284677134656432E-2"/>
          <c:w val="0.66933403966705995"/>
          <c:h val="0.471977099353817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11</c:v>
                </c:pt>
                <c:pt idx="4">
                  <c:v>1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10</c:v>
                </c:pt>
                <c:pt idx="5">
                  <c:v>18</c:v>
                </c:pt>
              </c:numCache>
            </c:numRef>
          </c:val>
        </c:ser>
        <c:shape val="cylinder"/>
        <c:axId val="7695744"/>
        <c:axId val="48460928"/>
        <c:axId val="0"/>
      </c:bar3DChart>
      <c:catAx>
        <c:axId val="7695744"/>
        <c:scaling>
          <c:orientation val="minMax"/>
        </c:scaling>
        <c:axPos val="b"/>
        <c:tickLblPos val="nextTo"/>
        <c:crossAx val="48460928"/>
        <c:crosses val="autoZero"/>
        <c:auto val="1"/>
        <c:lblAlgn val="ctr"/>
        <c:lblOffset val="100"/>
      </c:catAx>
      <c:valAx>
        <c:axId val="4846092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6957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июле 2020 г. в сравнении с июнем 2020 г. и июлем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июле 2020 г. в сравнении с июнем 2020 г. и июлем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июле 2020 года в сравнении с июнем 2020 года и июлем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3070-B69A-475D-AA58-930A064A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2020-08-01T02:44:00Z</dcterms:created>
  <dcterms:modified xsi:type="dcterms:W3CDTF">2020-08-04T10:11:00Z</dcterms:modified>
</cp:coreProperties>
</file>