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02" w:rsidRDefault="00387902" w:rsidP="003879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Доклад к Проекту  Плану  </w:t>
      </w:r>
    </w:p>
    <w:p w:rsidR="00387902" w:rsidRDefault="00387902" w:rsidP="0038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– экономического развития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2016 год и плановый период 2017-2018 годов</w:t>
      </w:r>
    </w:p>
    <w:p w:rsidR="00387902" w:rsidRDefault="00387902" w:rsidP="00387902">
      <w:pPr>
        <w:jc w:val="center"/>
        <w:rPr>
          <w:b/>
          <w:sz w:val="28"/>
          <w:szCs w:val="28"/>
        </w:rPr>
      </w:pP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Плана социально – экономического развития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разработан в соответствии со статьями 169 и 173 Бюджетного кодекса Российской Федерации, и другими регулирующими законодательными актами Новосибирской области 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района.</w:t>
      </w:r>
    </w:p>
    <w:p w:rsidR="00387902" w:rsidRDefault="00387902" w:rsidP="00387902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Реализуемая в планируемый период экономическая политика направлена на поддержание в районе экономической стабильности, производственного потенциала, уровня занятости населения и достигнутого уровня жизни. Но сохраняется и ряд серьезных проблем во всех направлениях экономики.</w:t>
      </w:r>
    </w:p>
    <w:p w:rsidR="00387902" w:rsidRDefault="00387902" w:rsidP="00387902">
      <w:pPr>
        <w:mirrorIndents/>
        <w:jc w:val="both"/>
        <w:rPr>
          <w:sz w:val="28"/>
          <w:szCs w:val="28"/>
        </w:rPr>
      </w:pPr>
    </w:p>
    <w:p w:rsidR="00387902" w:rsidRDefault="00387902" w:rsidP="00387902">
      <w:pPr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Главной целью  </w:t>
      </w:r>
      <w:r>
        <w:rPr>
          <w:sz w:val="28"/>
          <w:szCs w:val="28"/>
        </w:rPr>
        <w:t>социально – экономического  развития района является обеспечение достойного качества жизни населения, поддержание на должном уровне доходов населения, социальной и коммунальной инфраструктуры.</w:t>
      </w:r>
    </w:p>
    <w:p w:rsidR="00387902" w:rsidRDefault="00387902" w:rsidP="00387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Более подробно по сферам развития:</w:t>
      </w:r>
    </w:p>
    <w:p w:rsidR="00387902" w:rsidRDefault="00387902" w:rsidP="00387902">
      <w:pPr>
        <w:jc w:val="center"/>
        <w:rPr>
          <w:b/>
          <w:sz w:val="28"/>
          <w:szCs w:val="28"/>
        </w:rPr>
      </w:pPr>
    </w:p>
    <w:p w:rsidR="00387902" w:rsidRDefault="00387902" w:rsidP="0038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387902" w:rsidRDefault="00387902" w:rsidP="00387902">
      <w:pPr>
        <w:jc w:val="center"/>
        <w:rPr>
          <w:b/>
          <w:sz w:val="28"/>
          <w:szCs w:val="28"/>
        </w:rPr>
      </w:pPr>
    </w:p>
    <w:p w:rsidR="00387902" w:rsidRDefault="00387902" w:rsidP="003879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развитие промышленного потенциала на территории района.</w:t>
      </w:r>
    </w:p>
    <w:p w:rsidR="00387902" w:rsidRDefault="00387902" w:rsidP="00387902">
      <w:pPr>
        <w:rPr>
          <w:sz w:val="28"/>
          <w:szCs w:val="28"/>
        </w:rPr>
      </w:pPr>
      <w:r>
        <w:rPr>
          <w:sz w:val="28"/>
          <w:szCs w:val="28"/>
        </w:rPr>
        <w:t>Направление деятельности:</w:t>
      </w:r>
    </w:p>
    <w:p w:rsidR="00387902" w:rsidRDefault="00387902" w:rsidP="00387902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увеличения объемов промышленного производства;</w:t>
      </w:r>
    </w:p>
    <w:p w:rsidR="00387902" w:rsidRDefault="00387902" w:rsidP="00387902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модернизации действующих промышленных производств и повышению конкурентоспособности предприятий;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созданию новых рабочих производств на базе пустующих производственных помещений;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Выпуском промышленной продукции на территории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занимаются 7 предприятий и 3  индивидуальных предпринимателя. Основные виды промышленного производства – добыча и розлив минеральной воды, переработка молока, производство строительных материалов.      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Наибольшую долю в общем объеме производства промышленной продукции занимает добыча и розлив минеральной воды – 75,3%, производство хлеба и хлебобулочных изделий – 1,4%, производство строительных материалов и продукции лесной промышленности – 0,7%, термическая обработка молока – 21,5%, прочие – 1,1%.</w:t>
      </w:r>
    </w:p>
    <w:p w:rsidR="00387902" w:rsidRDefault="00387902" w:rsidP="00387902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3885"/>
        <w:gridCol w:w="1506"/>
        <w:gridCol w:w="720"/>
        <w:gridCol w:w="767"/>
        <w:gridCol w:w="923"/>
        <w:gridCol w:w="806"/>
        <w:gridCol w:w="808"/>
      </w:tblGrid>
      <w:tr w:rsidR="00387902" w:rsidTr="00387902">
        <w:trPr>
          <w:trHeight w:val="20"/>
          <w:tblHeader/>
        </w:trPr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факт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оценка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план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</w:tr>
      <w:tr w:rsidR="00387902" w:rsidTr="00387902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387902" w:rsidTr="00387902">
        <w:trPr>
          <w:trHeight w:val="20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промышленной продукции - всего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02" w:rsidTr="00387902">
        <w:trPr>
          <w:trHeight w:val="20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действующих ценах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2886,6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3059,8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3237,3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3767,5</w:t>
            </w:r>
          </w:p>
        </w:tc>
      </w:tr>
      <w:tr w:rsidR="00387902" w:rsidTr="00387902">
        <w:trPr>
          <w:trHeight w:val="20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оду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111,59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387902" w:rsidTr="00387902">
        <w:trPr>
          <w:trHeight w:val="20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сопоставимых ценах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оду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</w:tbl>
    <w:p w:rsidR="00387902" w:rsidRDefault="00387902" w:rsidP="00387902">
      <w:pPr>
        <w:ind w:firstLine="709"/>
        <w:jc w:val="both"/>
      </w:pPr>
    </w:p>
    <w:p w:rsidR="00387902" w:rsidRDefault="00387902" w:rsidP="00387902">
      <w:pPr>
        <w:ind w:firstLine="284"/>
        <w:jc w:val="both"/>
        <w:rPr>
          <w:szCs w:val="28"/>
        </w:rPr>
      </w:pPr>
      <w:proofErr w:type="gramStart"/>
      <w:r>
        <w:rPr>
          <w:sz w:val="28"/>
          <w:szCs w:val="28"/>
        </w:rPr>
        <w:t>В прогнозируемом периоде ожидаются умеренные темпы роста промышленного производства, которые составят в 2015 году – 3 059,8 млн. руб. (106,0% к уровню 2014 года), в 2016 году – 3 237,3 млн. руб. (112,1% к уровню 2014 года), в 2017 году –  3 483,3 млн. руб. (120,7% к уровню 2014 года), в 2018 году – 3 767,5 млн. руб. (130,5% к уровню 2014 года</w:t>
      </w:r>
      <w:r>
        <w:rPr>
          <w:szCs w:val="28"/>
        </w:rPr>
        <w:t xml:space="preserve">).  </w:t>
      </w:r>
      <w:proofErr w:type="gramEnd"/>
    </w:p>
    <w:p w:rsidR="00387902" w:rsidRDefault="00387902" w:rsidP="00387902">
      <w:pPr>
        <w:jc w:val="right"/>
      </w:pPr>
    </w:p>
    <w:p w:rsidR="00387902" w:rsidRDefault="00387902" w:rsidP="0038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</w:p>
    <w:p w:rsidR="00387902" w:rsidRDefault="00387902" w:rsidP="00387902">
      <w:pPr>
        <w:jc w:val="center"/>
        <w:rPr>
          <w:b/>
          <w:sz w:val="28"/>
          <w:szCs w:val="28"/>
        </w:rPr>
      </w:pPr>
    </w:p>
    <w:p w:rsidR="00387902" w:rsidRDefault="00387902" w:rsidP="003879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 Увеличение производства и повышения конкурентоспособности сельскохозяйственной продукции, производимой в </w:t>
      </w:r>
      <w:proofErr w:type="spellStart"/>
      <w:r>
        <w:rPr>
          <w:b/>
          <w:i/>
          <w:sz w:val="28"/>
          <w:szCs w:val="28"/>
        </w:rPr>
        <w:t>Чановском</w:t>
      </w:r>
      <w:proofErr w:type="spellEnd"/>
      <w:r>
        <w:rPr>
          <w:b/>
          <w:i/>
          <w:sz w:val="28"/>
          <w:szCs w:val="28"/>
        </w:rPr>
        <w:t xml:space="preserve"> районе.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Направление деятельности:</w:t>
      </w:r>
    </w:p>
    <w:p w:rsidR="00387902" w:rsidRDefault="00387902" w:rsidP="00387902">
      <w:pPr>
        <w:pStyle w:val="3"/>
        <w:rPr>
          <w:sz w:val="28"/>
          <w:szCs w:val="28"/>
        </w:rPr>
      </w:pPr>
      <w:r>
        <w:rPr>
          <w:sz w:val="28"/>
          <w:szCs w:val="28"/>
        </w:rPr>
        <w:t>- формирование условий для устойчивого развития сельского хозяйства, развитие  животноводства и растениеводства;</w:t>
      </w:r>
    </w:p>
    <w:p w:rsidR="00387902" w:rsidRDefault="00387902" w:rsidP="00387902">
      <w:pPr>
        <w:pStyle w:val="3"/>
        <w:rPr>
          <w:sz w:val="28"/>
          <w:szCs w:val="28"/>
        </w:rPr>
      </w:pPr>
      <w:r>
        <w:rPr>
          <w:sz w:val="28"/>
          <w:szCs w:val="28"/>
        </w:rPr>
        <w:t>- увеличение объема и качества валового продукта сельского хозяйства за счет использования новых технологий, техники, оборудования и доведение его до объема во всех категориях хозяйств до 906,8 млн. руб.;</w:t>
      </w:r>
    </w:p>
    <w:p w:rsidR="00387902" w:rsidRDefault="00387902" w:rsidP="00387902">
      <w:pPr>
        <w:pStyle w:val="3"/>
        <w:rPr>
          <w:sz w:val="28"/>
          <w:szCs w:val="28"/>
        </w:rPr>
      </w:pPr>
      <w:r>
        <w:rPr>
          <w:sz w:val="28"/>
          <w:szCs w:val="28"/>
        </w:rPr>
        <w:t>- расширение посевных площадей и повышение урожайности,  повышение товарности зерна;</w:t>
      </w:r>
    </w:p>
    <w:p w:rsidR="00387902" w:rsidRDefault="00387902" w:rsidP="00387902">
      <w:pPr>
        <w:pStyle w:val="3"/>
        <w:rPr>
          <w:sz w:val="28"/>
          <w:szCs w:val="28"/>
        </w:rPr>
      </w:pPr>
      <w:r>
        <w:rPr>
          <w:sz w:val="28"/>
          <w:szCs w:val="28"/>
        </w:rPr>
        <w:t>-увеличение поголовья  и  продуктивности животных в целях увеличения доли товарной продукции в валовом продукте;</w:t>
      </w:r>
    </w:p>
    <w:p w:rsidR="00387902" w:rsidRDefault="00387902" w:rsidP="00387902">
      <w:pPr>
        <w:pStyle w:val="3"/>
        <w:rPr>
          <w:sz w:val="28"/>
          <w:szCs w:val="28"/>
        </w:rPr>
      </w:pPr>
      <w:r>
        <w:rPr>
          <w:sz w:val="28"/>
          <w:szCs w:val="28"/>
        </w:rPr>
        <w:t>- развитие отрасли рыбоводства и рыболовства на базе Озера Чаны;</w:t>
      </w:r>
    </w:p>
    <w:p w:rsidR="00387902" w:rsidRDefault="00387902" w:rsidP="0038790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-развитие перерабатывающей отрасли на базе сырья собственного производства и закупа  сырья у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района различных категорий.</w:t>
      </w:r>
    </w:p>
    <w:tbl>
      <w:tblPr>
        <w:tblW w:w="5285" w:type="pct"/>
        <w:tblInd w:w="-537" w:type="dxa"/>
        <w:tblCellMar>
          <w:left w:w="30" w:type="dxa"/>
          <w:right w:w="30" w:type="dxa"/>
        </w:tblCellMar>
        <w:tblLook w:val="04A0"/>
      </w:tblPr>
      <w:tblGrid>
        <w:gridCol w:w="4111"/>
        <w:gridCol w:w="1641"/>
        <w:gridCol w:w="840"/>
        <w:gridCol w:w="840"/>
        <w:gridCol w:w="840"/>
        <w:gridCol w:w="840"/>
        <w:gridCol w:w="840"/>
      </w:tblGrid>
      <w:tr w:rsidR="00387902" w:rsidTr="00387902">
        <w:trPr>
          <w:trHeight w:val="20"/>
          <w:tblHeader/>
        </w:trPr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факт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оценка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план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</w:tr>
      <w:tr w:rsidR="00387902" w:rsidTr="00387902">
        <w:trPr>
          <w:trHeight w:val="12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Продукция сельского хозяйства во всех категориях хозяйств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действующих ценах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838,8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906,8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оду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102,4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сопоставимых ценах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% к </w:t>
            </w:r>
            <w:proofErr w:type="gramStart"/>
            <w:r>
              <w:rPr>
                <w:lang w:eastAsia="en-US"/>
              </w:rPr>
              <w:t>пред</w:t>
            </w:r>
            <w:proofErr w:type="gramEnd"/>
            <w:r>
              <w:rPr>
                <w:lang w:eastAsia="en-US"/>
              </w:rPr>
              <w:t xml:space="preserve"> году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98,9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Поголовье скота  и птицы (во всех категориях)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КРС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 коровы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свиньи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Посевная площадь в сельскохозяйственных организациях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53,5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Производство важнейших видов продукции в натуральном выражении (во всех категориях хозяйств):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Зерно в бункерном весе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тонн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42,6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Мясо скота и птицы на убой (</w:t>
            </w:r>
            <w:proofErr w:type="spellStart"/>
            <w:r>
              <w:rPr>
                <w:lang w:eastAsia="en-US"/>
              </w:rPr>
              <w:t>жив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ес</w:t>
            </w:r>
            <w:proofErr w:type="spellEnd"/>
            <w:r>
              <w:rPr>
                <w:lang w:eastAsia="en-US"/>
              </w:rPr>
              <w:t xml:space="preserve">)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тонн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4,45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Молоко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тонн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26,1</w:t>
            </w:r>
          </w:p>
        </w:tc>
      </w:tr>
      <w:tr w:rsidR="00387902" w:rsidTr="00387902">
        <w:trPr>
          <w:trHeight w:val="1202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Коэффициент обновления основных видов сельскохозяйственной техники в сельскохозяйственных организациях:</w:t>
            </w:r>
          </w:p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тракторы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  <w:p w:rsidR="00387902" w:rsidRDefault="003879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387902" w:rsidTr="00387902">
        <w:trPr>
          <w:trHeight w:val="36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комбайны зерноуборочные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7902" w:rsidTr="00387902">
        <w:trPr>
          <w:trHeight w:val="487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комбайны кормоуборочные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  <w:p w:rsidR="00387902" w:rsidRDefault="00387902">
            <w:pPr>
              <w:spacing w:line="276" w:lineRule="auto"/>
              <w:rPr>
                <w:lang w:eastAsia="en-US"/>
              </w:rPr>
            </w:pPr>
          </w:p>
          <w:p w:rsidR="00387902" w:rsidRDefault="003879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87902" w:rsidTr="00387902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энергетических мощностей в сельскохозяйственных организациях (суммарная номинальная мощность двигателей тракторов, комбайнов и самоходных машин)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тыс.л.с.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tabs>
                <w:tab w:val="center" w:pos="3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79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</w:tbl>
    <w:p w:rsidR="00387902" w:rsidRDefault="00387902" w:rsidP="00387902">
      <w:pPr>
        <w:pStyle w:val="3"/>
        <w:rPr>
          <w:sz w:val="28"/>
          <w:szCs w:val="28"/>
        </w:rPr>
      </w:pPr>
    </w:p>
    <w:p w:rsidR="00387902" w:rsidRDefault="00387902" w:rsidP="00387902">
      <w:pPr>
        <w:pStyle w:val="3"/>
        <w:jc w:val="both"/>
        <w:rPr>
          <w:sz w:val="28"/>
          <w:szCs w:val="28"/>
        </w:rPr>
      </w:pPr>
    </w:p>
    <w:p w:rsidR="00387902" w:rsidRDefault="00387902" w:rsidP="0038790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 2015 году планируется получить объем продукции сельского хозяйства во всех категориях хозяйств  в размере 838,8 млн. руб. в действующих ценах  (что составит 107,0% к уровню 2014 года), в 2016 году – 864 млн. руб. (117,9% к  уровню 2014 года),  в 2017 году – 918,7 млн. руб. (120,9 млн. руб.), в 2018 году – 906,8 млн. руб. (123,8% к уровню 2014 года).</w:t>
      </w:r>
      <w:proofErr w:type="gramEnd"/>
    </w:p>
    <w:p w:rsidR="00387902" w:rsidRDefault="00387902" w:rsidP="00387902">
      <w:pPr>
        <w:ind w:left="-567"/>
        <w:jc w:val="both"/>
        <w:rPr>
          <w:szCs w:val="28"/>
        </w:rPr>
      </w:pPr>
    </w:p>
    <w:p w:rsidR="00387902" w:rsidRDefault="00387902" w:rsidP="0038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 товаров и услуг</w:t>
      </w:r>
    </w:p>
    <w:p w:rsidR="00387902" w:rsidRDefault="00387902" w:rsidP="00387902">
      <w:pPr>
        <w:jc w:val="center"/>
        <w:rPr>
          <w:b/>
          <w:sz w:val="28"/>
          <w:szCs w:val="28"/>
        </w:rPr>
      </w:pPr>
    </w:p>
    <w:p w:rsidR="00387902" w:rsidRDefault="00387902" w:rsidP="0038790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устойчивое развитие торговли и общественного питания, обеспечение населения социально – значимыми видами услуг.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деятельности: 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объема розничного товарооборота;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структуры потребительской кооперации;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новых современных торговых предприятий, открытие магазинов и отделов фирменной торговли, постепенный переход к более прогрессивным формам и методам обслуживания покупателей (предоставление кредитов, применение гибких систем скидок, организация сезонных распродаж и т.д.),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жителей качественными товарами и услугами;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продвижении на потребительский рынок местных товаропроизводителей;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развитие бытовых услуг, улучшение качества предоставляемых бытовых услуг;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субъектам малого предпринимательства в развитии новых видов бытовых услуг.</w:t>
      </w:r>
    </w:p>
    <w:p w:rsidR="00387902" w:rsidRDefault="00387902" w:rsidP="0038790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Потребительский рынок – это крупный сектор экономики, в котором занято большое количество хозяйствующих субъектов, формирующих здоровую конкурентную среду. Торговое обслуживание населения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осуществляется  217 магазинами (площадь 13 400,75 кв.м.),  76  павильонами (площадью 1755,3 кв.м.). </w:t>
      </w:r>
    </w:p>
    <w:p w:rsidR="00387902" w:rsidRDefault="00387902" w:rsidP="00387902">
      <w:pPr>
        <w:pStyle w:val="a3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szCs w:val="28"/>
        </w:rPr>
        <w:t xml:space="preserve">          Потребительский рынок в </w:t>
      </w:r>
      <w:proofErr w:type="spellStart"/>
      <w:r>
        <w:rPr>
          <w:szCs w:val="28"/>
        </w:rPr>
        <w:t>Чановском</w:t>
      </w:r>
      <w:proofErr w:type="spellEnd"/>
      <w:r>
        <w:rPr>
          <w:szCs w:val="28"/>
        </w:rPr>
        <w:t xml:space="preserve"> районе сложился в устойчивый сектор, обеспечивающий рабочие места 12,7 % занятого населения. Численность работающих на потребительском рынке  -  1407 человек. </w:t>
      </w:r>
    </w:p>
    <w:p w:rsidR="00387902" w:rsidRDefault="00387902" w:rsidP="0038790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Отрасль общественного питания на территории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насчитывает 23 пункта общественного питания и  34  школьные столовые.</w:t>
      </w:r>
      <w:r>
        <w:rPr>
          <w:sz w:val="28"/>
          <w:szCs w:val="28"/>
          <w:highlight w:val="yellow"/>
        </w:rPr>
        <w:t xml:space="preserve">   </w:t>
      </w:r>
    </w:p>
    <w:p w:rsidR="00387902" w:rsidRDefault="00387902" w:rsidP="00387902">
      <w:pPr>
        <w:jc w:val="both"/>
        <w:rPr>
          <w:b/>
          <w:sz w:val="28"/>
          <w:szCs w:val="28"/>
          <w:highlight w:val="yellow"/>
          <w:u w:val="single"/>
        </w:rPr>
      </w:pPr>
    </w:p>
    <w:p w:rsidR="00387902" w:rsidRDefault="00387902" w:rsidP="00387902">
      <w:pPr>
        <w:jc w:val="right"/>
      </w:pPr>
      <w:r>
        <w:t>Таблица 3</w:t>
      </w:r>
    </w:p>
    <w:tbl>
      <w:tblPr>
        <w:tblpPr w:leftFromText="180" w:rightFromText="180" w:bottomFromText="200" w:vertAnchor="text" w:horzAnchor="margin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1420"/>
        <w:gridCol w:w="936"/>
        <w:gridCol w:w="1003"/>
        <w:gridCol w:w="988"/>
        <w:gridCol w:w="988"/>
        <w:gridCol w:w="984"/>
      </w:tblGrid>
      <w:tr w:rsidR="00387902" w:rsidTr="00387902">
        <w:trPr>
          <w:tblHeader/>
        </w:trPr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факт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оценка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план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</w:tr>
      <w:tr w:rsidR="00387902" w:rsidTr="0038790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387902" w:rsidTr="00387902">
        <w:trPr>
          <w:trHeight w:val="333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Оборот розничной торговли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в действующих ценах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1 314,9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1 330,7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1 422,5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1 560,5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1731,5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% к </w:t>
            </w:r>
            <w:proofErr w:type="spellStart"/>
            <w:r>
              <w:rPr>
                <w:lang w:eastAsia="en-US"/>
              </w:rPr>
              <w:t>пред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оду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 предыдущего года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% к </w:t>
            </w:r>
            <w:proofErr w:type="spellStart"/>
            <w:r>
              <w:rPr>
                <w:lang w:eastAsia="en-US"/>
              </w:rPr>
              <w:t>пред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оду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платных услуг населению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 действующих ценах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315,6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оду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 предыдущего года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оду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103,6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   бытовые услуги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в действующих ценах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72,2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оду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103,6</w:t>
            </w:r>
          </w:p>
        </w:tc>
      </w:tr>
      <w:tr w:rsidR="00387902" w:rsidTr="0038790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 предыдущего года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оду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387902" w:rsidRDefault="00387902" w:rsidP="00387902">
      <w:pPr>
        <w:jc w:val="both"/>
        <w:rPr>
          <w:szCs w:val="28"/>
        </w:rPr>
      </w:pP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потребительском рынке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сохранится положительная динамика развития оборота розничной торговли. Ожидаемый объем оборота </w:t>
      </w:r>
      <w:r>
        <w:rPr>
          <w:sz w:val="28"/>
          <w:szCs w:val="28"/>
        </w:rPr>
        <w:lastRenderedPageBreak/>
        <w:t xml:space="preserve">розничной торговли по итогам 2015  года составит  1 330,7 млн. руб. (101,2% к уровню 2014 года), в 2016 году – 1 422,5  млн.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108,2% к уровню 2014 года), в 2017  году – 1 560,5  млн. руб. (118,7%  к  уровню 2014 года), в 2018 году 1 731,5  млн. руб. (131,7% к уровню 2014 года).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объем платных услуг в 2015 году составит  255 млн. руб. (108,5% к уровню 2014 года), в 2016 году 273,6  млн. руб. (116,4%  к уровню 2014 года), в 2017 году – 293,6  млн. руб. (124,9 % к уровню 2014 года), в 2018 году – 315,6  млн. руб. (134,3% к уровню 2014 года).</w:t>
      </w:r>
    </w:p>
    <w:p w:rsidR="00387902" w:rsidRDefault="00387902" w:rsidP="00387902">
      <w:pPr>
        <w:jc w:val="both"/>
        <w:rPr>
          <w:sz w:val="28"/>
          <w:szCs w:val="28"/>
        </w:rPr>
      </w:pPr>
    </w:p>
    <w:p w:rsidR="00387902" w:rsidRDefault="00387902" w:rsidP="00387902">
      <w:pPr>
        <w:jc w:val="both"/>
        <w:rPr>
          <w:sz w:val="28"/>
          <w:szCs w:val="28"/>
        </w:rPr>
      </w:pPr>
    </w:p>
    <w:p w:rsidR="00387902" w:rsidRDefault="00387902" w:rsidP="0038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Транспортная система и связь</w:t>
      </w:r>
    </w:p>
    <w:p w:rsidR="00387902" w:rsidRDefault="00387902" w:rsidP="00387902">
      <w:pPr>
        <w:jc w:val="center"/>
        <w:rPr>
          <w:b/>
          <w:sz w:val="28"/>
          <w:szCs w:val="28"/>
        </w:rPr>
      </w:pPr>
    </w:p>
    <w:p w:rsidR="00387902" w:rsidRDefault="00387902" w:rsidP="0038790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развитие транспортно – дорожного комплекса и связи в районе.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деятельности: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транспортной системы района в целях эффективного удовлетворения потребности в перевозках грузов и пассажиров;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транспортных издержек в цене услуг транспорта;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грузопассажирского транспорта.</w:t>
      </w:r>
    </w:p>
    <w:p w:rsidR="00387902" w:rsidRDefault="00387902" w:rsidP="00387902">
      <w:pPr>
        <w:jc w:val="both"/>
        <w:rPr>
          <w:sz w:val="28"/>
          <w:szCs w:val="28"/>
        </w:rPr>
      </w:pPr>
    </w:p>
    <w:p w:rsidR="00387902" w:rsidRDefault="00387902" w:rsidP="00387902">
      <w:pPr>
        <w:jc w:val="both"/>
        <w:rPr>
          <w:sz w:val="28"/>
          <w:szCs w:val="28"/>
        </w:rPr>
      </w:pPr>
    </w:p>
    <w:tbl>
      <w:tblPr>
        <w:tblW w:w="4900" w:type="pct"/>
        <w:tblCellMar>
          <w:left w:w="30" w:type="dxa"/>
          <w:right w:w="30" w:type="dxa"/>
        </w:tblCellMar>
        <w:tblLook w:val="04A0"/>
      </w:tblPr>
      <w:tblGrid>
        <w:gridCol w:w="2512"/>
        <w:gridCol w:w="1136"/>
        <w:gridCol w:w="768"/>
        <w:gridCol w:w="1405"/>
        <w:gridCol w:w="720"/>
        <w:gridCol w:w="720"/>
        <w:gridCol w:w="1966"/>
      </w:tblGrid>
      <w:tr w:rsidR="00387902" w:rsidTr="00387902">
        <w:trPr>
          <w:trHeight w:val="319"/>
          <w:tblHeader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оценка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387902" w:rsidRDefault="00387902">
            <w:pPr>
              <w:spacing w:line="276" w:lineRule="auto"/>
              <w:rPr>
                <w:lang w:eastAsia="en-US"/>
              </w:rPr>
            </w:pPr>
          </w:p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(ожидаемое)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</w:tr>
      <w:tr w:rsidR="00387902" w:rsidTr="00387902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387902" w:rsidTr="00387902">
        <w:trPr>
          <w:trHeight w:val="846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Перевезено (отправлено) грузов автомобильным транспортом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тонн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1014,6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1024,7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1045,2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1055,6</w:t>
            </w:r>
          </w:p>
        </w:tc>
      </w:tr>
      <w:tr w:rsidR="00387902" w:rsidTr="00387902">
        <w:trPr>
          <w:trHeight w:val="30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Перевезено (отправлено) пассажиров </w:t>
            </w:r>
            <w:proofErr w:type="gramStart"/>
            <w:r>
              <w:rPr>
                <w:lang w:eastAsia="en-US"/>
              </w:rPr>
              <w:t>автомобильным</w:t>
            </w:r>
            <w:proofErr w:type="gramEnd"/>
            <w:r>
              <w:rPr>
                <w:lang w:eastAsia="en-US"/>
              </w:rPr>
              <w:t xml:space="preserve"> транспорта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319,5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322,7</w:t>
            </w:r>
          </w:p>
        </w:tc>
      </w:tr>
    </w:tbl>
    <w:p w:rsidR="00387902" w:rsidRDefault="00387902" w:rsidP="00387902">
      <w:pPr>
        <w:ind w:firstLine="900"/>
        <w:jc w:val="both"/>
        <w:rPr>
          <w:color w:val="000000"/>
          <w:sz w:val="28"/>
          <w:szCs w:val="28"/>
        </w:rPr>
      </w:pPr>
    </w:p>
    <w:p w:rsidR="00387902" w:rsidRDefault="00387902" w:rsidP="00387902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перевезено за 2014 год  1 014,6  тыс. тонн различных грузов, за 2015 год  ожидаемый грузооборот составит 1 024,7  тыс. тонн.(101% к уровню 2014 года), в 2016 году  1 034,9 тыс. тонн (102% к уровню 2014 года), в 2017 году – 1 045,2  тыс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 xml:space="preserve">онн  (103% к уровню 2014 года),  в 2018 году 1 055,6 тыс. тонн (104% к уровню </w:t>
      </w:r>
      <w:proofErr w:type="gramStart"/>
      <w:r>
        <w:rPr>
          <w:color w:val="000000"/>
          <w:sz w:val="28"/>
          <w:szCs w:val="28"/>
        </w:rPr>
        <w:t>2014 года).</w:t>
      </w:r>
      <w:proofErr w:type="gramEnd"/>
    </w:p>
    <w:p w:rsidR="00387902" w:rsidRDefault="00387902" w:rsidP="00387902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направления развития транспортной системы заключаются в модернизации существующей сети дорог, капитальному ремонту дорожно-уличной системы населенных пунктов, в целях обеспечения устойчивого транспортного сообщения, создания более комфортных условий проживания в населенных пунктах. С целью реализации  </w:t>
      </w:r>
      <w:r>
        <w:rPr>
          <w:sz w:val="28"/>
          <w:szCs w:val="28"/>
        </w:rPr>
        <w:t xml:space="preserve">мероприятий  государственной программы Новосибирской области "Развитие автомобильных дорог </w:t>
      </w:r>
      <w:r>
        <w:rPr>
          <w:sz w:val="28"/>
          <w:szCs w:val="28"/>
        </w:rPr>
        <w:lastRenderedPageBreak/>
        <w:t>регионального, межмуниципального и местного значения в  Новосибирской области" в 2016 году запланировано:</w:t>
      </w:r>
    </w:p>
    <w:p w:rsidR="00387902" w:rsidRDefault="00387902" w:rsidP="00387902">
      <w:pPr>
        <w:ind w:firstLine="900"/>
        <w:jc w:val="center"/>
        <w:rPr>
          <w:color w:val="000000"/>
          <w:szCs w:val="28"/>
        </w:rPr>
      </w:pPr>
    </w:p>
    <w:tbl>
      <w:tblPr>
        <w:tblW w:w="8903" w:type="dxa"/>
        <w:tblInd w:w="93" w:type="dxa"/>
        <w:tblLook w:val="04A0"/>
      </w:tblPr>
      <w:tblGrid>
        <w:gridCol w:w="540"/>
        <w:gridCol w:w="6095"/>
        <w:gridCol w:w="2268"/>
      </w:tblGrid>
      <w:tr w:rsidR="00387902" w:rsidTr="00387902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в рамках реализации государственной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финансирования, тыс. руб.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>. по ул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окзальная в к.п. Озеро-Карачи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11 500,00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>. по ул. Молодежная в п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оховое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2 500,00</w:t>
            </w:r>
          </w:p>
        </w:tc>
      </w:tr>
      <w:tr w:rsidR="00387902" w:rsidTr="003879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 xml:space="preserve">. по ул. </w:t>
            </w:r>
            <w:proofErr w:type="gramStart"/>
            <w:r>
              <w:rPr>
                <w:lang w:eastAsia="en-US"/>
              </w:rPr>
              <w:t>Светлая</w:t>
            </w:r>
            <w:proofErr w:type="gramEnd"/>
            <w:r>
              <w:rPr>
                <w:lang w:eastAsia="en-US"/>
              </w:rPr>
              <w:t xml:space="preserve"> в р.п. Чаны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2 000,00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 xml:space="preserve">. по ул. </w:t>
            </w:r>
            <w:proofErr w:type="spellStart"/>
            <w:r>
              <w:rPr>
                <w:lang w:eastAsia="en-US"/>
              </w:rPr>
              <w:t>Бр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Желтиковых</w:t>
            </w:r>
            <w:proofErr w:type="spellEnd"/>
            <w:r>
              <w:rPr>
                <w:lang w:eastAsia="en-US"/>
              </w:rPr>
              <w:t xml:space="preserve"> в р.п. Чаны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2 000,00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>. по ул. Строителей в р.п. Чаны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>. по ул. Мичурина в р.п. Чаны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 xml:space="preserve">. по ул. 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 xml:space="preserve"> в р.п. Чаны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500,00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>.  по ул. 1-ый Советский переулок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1 000,00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Блюдчанский</w:t>
            </w:r>
            <w:proofErr w:type="spellEnd"/>
            <w:r>
              <w:rPr>
                <w:lang w:eastAsia="en-US"/>
              </w:rPr>
              <w:t xml:space="preserve"> сельсовет с. </w:t>
            </w:r>
            <w:proofErr w:type="spellStart"/>
            <w:r>
              <w:rPr>
                <w:lang w:eastAsia="en-US"/>
              </w:rPr>
              <w:t>Блюдцы</w:t>
            </w:r>
            <w:proofErr w:type="spellEnd"/>
            <w:r>
              <w:rPr>
                <w:lang w:eastAsia="en-US"/>
              </w:rPr>
              <w:t xml:space="preserve"> 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>. по 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1 323,07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Озерокарачинский</w:t>
            </w:r>
            <w:proofErr w:type="spellEnd"/>
            <w:r>
              <w:rPr>
                <w:lang w:eastAsia="en-US"/>
              </w:rPr>
              <w:t xml:space="preserve"> сельсовет 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 xml:space="preserve">. по ул. </w:t>
            </w:r>
            <w:proofErr w:type="gramStart"/>
            <w:r>
              <w:rPr>
                <w:lang w:eastAsia="en-US"/>
              </w:rPr>
              <w:t>Школьная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840,48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Земзаимский</w:t>
            </w:r>
            <w:proofErr w:type="spellEnd"/>
            <w:r>
              <w:rPr>
                <w:lang w:eastAsia="en-US"/>
              </w:rPr>
              <w:t xml:space="preserve"> сельсовет капитальный ремонт </w:t>
            </w:r>
            <w:proofErr w:type="spellStart"/>
            <w:r>
              <w:rPr>
                <w:lang w:eastAsia="en-US"/>
              </w:rPr>
              <w:t>а.д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абаклы</w:t>
            </w:r>
            <w:proofErr w:type="spellEnd"/>
            <w:r>
              <w:rPr>
                <w:lang w:eastAsia="en-US"/>
              </w:rPr>
              <w:t xml:space="preserve"> ул. Центральная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569,64</w:t>
            </w:r>
          </w:p>
        </w:tc>
      </w:tr>
      <w:tr w:rsidR="00387902" w:rsidTr="003879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902" w:rsidRDefault="003879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902" w:rsidRDefault="003879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119"/>
        <w:tblW w:w="0" w:type="auto"/>
        <w:tblLook w:val="01E0"/>
      </w:tblPr>
      <w:tblGrid>
        <w:gridCol w:w="4488"/>
        <w:gridCol w:w="1892"/>
        <w:gridCol w:w="923"/>
        <w:gridCol w:w="756"/>
        <w:gridCol w:w="756"/>
        <w:gridCol w:w="756"/>
      </w:tblGrid>
      <w:tr w:rsidR="00387902" w:rsidTr="00387902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</w:p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оценка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</w:tr>
      <w:tr w:rsidR="00387902" w:rsidTr="0038790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387902" w:rsidTr="0038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строительно-монтажных работ, включая </w:t>
            </w:r>
            <w:proofErr w:type="spellStart"/>
            <w:r>
              <w:rPr>
                <w:lang w:eastAsia="en-US"/>
              </w:rPr>
              <w:t>хозспособ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</w:t>
            </w:r>
          </w:p>
        </w:tc>
      </w:tr>
      <w:tr w:rsidR="00387902" w:rsidTr="0038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 в эксплуатацию за счет всех источников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кв.м.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387902" w:rsidTr="0038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-жилых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кв.м.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</w:tr>
    </w:tbl>
    <w:p w:rsidR="00387902" w:rsidRDefault="00387902" w:rsidP="00387902">
      <w:pPr>
        <w:ind w:firstLine="284"/>
        <w:jc w:val="both"/>
        <w:rPr>
          <w:szCs w:val="28"/>
        </w:rPr>
      </w:pPr>
    </w:p>
    <w:p w:rsidR="00387902" w:rsidRDefault="00387902" w:rsidP="003879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Ожидаемый объем </w:t>
      </w:r>
      <w:proofErr w:type="spellStart"/>
      <w:proofErr w:type="gram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>- монтажных</w:t>
      </w:r>
      <w:proofErr w:type="gramEnd"/>
      <w:r>
        <w:rPr>
          <w:sz w:val="28"/>
          <w:szCs w:val="28"/>
        </w:rPr>
        <w:t xml:space="preserve"> работ по итогам 2015 года составит 346,5 млн. руб.(74,8% к уровню 2014 года) Снижение обусловлено завершением строительства крупных объектов, сокращением финансирования по Федеральным и областным программам, в которых принимает участие Чановский район.  </w:t>
      </w:r>
    </w:p>
    <w:p w:rsidR="00387902" w:rsidRDefault="00387902" w:rsidP="0038790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прогнозном периоде 2016-2018 годов планируется 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2016-2017 гг. планируется продолжение строительства очистных сооружений хозяйственно-бытовых сточных вод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к.п. Озеро-Карачи. </w:t>
      </w:r>
    </w:p>
    <w:p w:rsidR="00387902" w:rsidRDefault="00387902" w:rsidP="00387902">
      <w:pPr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 2016-2017 гг.  в рамках Реализации ДЦП НСО «Чистая вода» планируется строительство водопроводов в р.п. Чаны, протяженностью 15 км.,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к.п. Озеро </w:t>
      </w:r>
      <w:proofErr w:type="gramStart"/>
      <w:r>
        <w:rPr>
          <w:color w:val="000000" w:themeColor="text1"/>
          <w:sz w:val="28"/>
          <w:szCs w:val="28"/>
        </w:rPr>
        <w:t>–К</w:t>
      </w:r>
      <w:proofErr w:type="gramEnd"/>
      <w:r>
        <w:rPr>
          <w:color w:val="000000" w:themeColor="text1"/>
          <w:sz w:val="28"/>
          <w:szCs w:val="28"/>
        </w:rPr>
        <w:t xml:space="preserve">арачи – 5 км., в ауле </w:t>
      </w:r>
      <w:proofErr w:type="spellStart"/>
      <w:r>
        <w:rPr>
          <w:color w:val="000000" w:themeColor="text1"/>
          <w:sz w:val="28"/>
          <w:szCs w:val="28"/>
        </w:rPr>
        <w:t>Кошкуль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387902" w:rsidRDefault="00387902" w:rsidP="00387902">
      <w:pPr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Реконструкция насосно-фильтровальной станции и водопроводных сетей (22 км) в </w:t>
      </w:r>
      <w:proofErr w:type="spellStart"/>
      <w:r>
        <w:rPr>
          <w:color w:val="000000" w:themeColor="text1"/>
          <w:sz w:val="28"/>
          <w:szCs w:val="28"/>
        </w:rPr>
        <w:t>п</w:t>
      </w:r>
      <w:proofErr w:type="gramStart"/>
      <w:r>
        <w:rPr>
          <w:color w:val="000000" w:themeColor="text1"/>
          <w:sz w:val="28"/>
          <w:szCs w:val="28"/>
        </w:rPr>
        <w:t>.Н</w:t>
      </w:r>
      <w:proofErr w:type="gramEnd"/>
      <w:r>
        <w:rPr>
          <w:color w:val="000000" w:themeColor="text1"/>
          <w:sz w:val="28"/>
          <w:szCs w:val="28"/>
        </w:rPr>
        <w:t>овояркуль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Озеро-Карачинского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387902" w:rsidRDefault="00387902" w:rsidP="0038790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2016-2017 годах планируется начать строительство средней общеобразовательной школы в р.п. Чаны на 550 мест на сумму 200 000 тыс. руб. рублей;</w:t>
      </w:r>
    </w:p>
    <w:p w:rsidR="00387902" w:rsidRDefault="00387902" w:rsidP="0038790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детского сада в р.п. Чаны на 100 мест на сумму 100 000  тыс. рублей;</w:t>
      </w:r>
    </w:p>
    <w:p w:rsidR="00387902" w:rsidRDefault="00387902" w:rsidP="0038790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планируется строительство культурно-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центра в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зеро-Карачи;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В 2016 по программе «Переселение из ветхого аварийного жилья» планируется строительство многоквартирного жилого дома в р.п. Чаны;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9. В 2016 году планируется  строительство газораспределительных сетей в р.п. Чаны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аяковского и строительство газораспределительных сетей высокого и низкого давления в к.п. Озеро-Карачи для газоснабжения индивидуальных жилых домов и санатория Озеро-Карачи, планируемый объем капитальных  вложений составит более 20 000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sz w:val="28"/>
          <w:szCs w:val="28"/>
        </w:rPr>
        <w:t>10. Строительство стадиона в р.п. Чаны в 2016 году планируется профинансировать  в сумме 10  000 тыс. руб.;</w:t>
      </w:r>
    </w:p>
    <w:p w:rsidR="00387902" w:rsidRDefault="00387902" w:rsidP="00387902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Продолжение строительства автомобильной дороги Чаны – </w:t>
      </w:r>
      <w:proofErr w:type="spellStart"/>
      <w:r>
        <w:rPr>
          <w:color w:val="000000" w:themeColor="text1"/>
          <w:sz w:val="28"/>
          <w:szCs w:val="28"/>
        </w:rPr>
        <w:t>Блюдчанское</w:t>
      </w:r>
      <w:proofErr w:type="spellEnd"/>
      <w:r>
        <w:rPr>
          <w:color w:val="000000" w:themeColor="text1"/>
          <w:sz w:val="28"/>
          <w:szCs w:val="28"/>
        </w:rPr>
        <w:t xml:space="preserve"> – Таган;</w:t>
      </w:r>
    </w:p>
    <w:p w:rsidR="00387902" w:rsidRDefault="00387902" w:rsidP="00387902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Строительство пожарного депо в п. Озеро Карачи.</w:t>
      </w:r>
    </w:p>
    <w:p w:rsidR="00387902" w:rsidRDefault="00387902" w:rsidP="00387902">
      <w:pPr>
        <w:jc w:val="both"/>
        <w:rPr>
          <w:sz w:val="28"/>
          <w:szCs w:val="28"/>
        </w:rPr>
      </w:pPr>
    </w:p>
    <w:p w:rsidR="00387902" w:rsidRDefault="00387902" w:rsidP="00387902">
      <w:pPr>
        <w:ind w:firstLine="90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Инвестиционн</w:t>
      </w:r>
      <w:proofErr w:type="gramStart"/>
      <w:r>
        <w:rPr>
          <w:b/>
          <w:color w:val="000000"/>
          <w:sz w:val="28"/>
          <w:szCs w:val="28"/>
        </w:rPr>
        <w:t>о</w:t>
      </w:r>
      <w:proofErr w:type="spellEnd"/>
      <w:r>
        <w:rPr>
          <w:b/>
          <w:color w:val="000000"/>
          <w:sz w:val="28"/>
          <w:szCs w:val="28"/>
        </w:rPr>
        <w:t>-</w:t>
      </w:r>
      <w:proofErr w:type="gramEnd"/>
      <w:r>
        <w:rPr>
          <w:b/>
          <w:color w:val="000000"/>
          <w:sz w:val="28"/>
          <w:szCs w:val="28"/>
        </w:rPr>
        <w:t xml:space="preserve"> строительный комплекс</w:t>
      </w:r>
    </w:p>
    <w:p w:rsidR="00387902" w:rsidRDefault="00387902" w:rsidP="00387902">
      <w:pPr>
        <w:ind w:firstLine="900"/>
        <w:jc w:val="both"/>
        <w:rPr>
          <w:b/>
          <w:i/>
          <w:color w:val="000000"/>
          <w:sz w:val="28"/>
          <w:szCs w:val="28"/>
        </w:rPr>
      </w:pPr>
    </w:p>
    <w:p w:rsidR="00387902" w:rsidRDefault="00387902" w:rsidP="00387902">
      <w:pPr>
        <w:ind w:firstLine="90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Цель: привлечение инвестиционных ресурсов с целью развития строительства,  производственной сферы и инфраструктуры;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Направление деятельности: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деятельности по привлечению инвестиций в производственную, социальную и инфраструктурную сферы;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в реализации инвестиционных проектов, соответствующих приоритетам развития района;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 сохранности  существующих автомобильных дорог путём ремонтов и реконструкции, строительство новых автомобильных дорог;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газификации;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жилищных условий жителей района;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условий оказания государственной поддержки модернизации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комплекса;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объектов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комплекса к отопительному сезону;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благоустройство территорий  поселений. </w:t>
      </w:r>
    </w:p>
    <w:p w:rsidR="00387902" w:rsidRDefault="00387902" w:rsidP="003879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ожидаемый объем инвестиций составит 974,3  млн. руб. (89% к уровню 2014 года), в 2016 году – 1 075,6 млн. руб. (98,2% к уровню 2014 </w:t>
      </w:r>
      <w:r>
        <w:rPr>
          <w:sz w:val="28"/>
          <w:szCs w:val="28"/>
        </w:rPr>
        <w:lastRenderedPageBreak/>
        <w:t>года), в  2017  году – 1238  млн. руб. (113,1% к уровню 2014 года), в 2018 году – 1444,7  млн. руб. (132% к уровню 2014 года).</w:t>
      </w:r>
    </w:p>
    <w:p w:rsidR="00387902" w:rsidRDefault="00387902" w:rsidP="00387902">
      <w:pPr>
        <w:ind w:firstLine="284"/>
        <w:jc w:val="both"/>
        <w:rPr>
          <w:sz w:val="28"/>
          <w:szCs w:val="28"/>
        </w:rPr>
      </w:pPr>
    </w:p>
    <w:p w:rsidR="00387902" w:rsidRDefault="00387902" w:rsidP="00387902">
      <w:pPr>
        <w:ind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Туризм</w:t>
      </w:r>
    </w:p>
    <w:p w:rsidR="00387902" w:rsidRDefault="00387902" w:rsidP="00387902">
      <w:pPr>
        <w:ind w:firstLine="284"/>
        <w:jc w:val="both"/>
        <w:rPr>
          <w:color w:val="000000"/>
          <w:szCs w:val="28"/>
          <w:shd w:val="clear" w:color="auto" w:fill="FFFFFF"/>
        </w:rPr>
      </w:pPr>
    </w:p>
    <w:p w:rsidR="00387902" w:rsidRDefault="00387902" w:rsidP="00387902">
      <w:pPr>
        <w:shd w:val="clear" w:color="auto" w:fill="FFFFFF"/>
        <w:ind w:firstLine="709"/>
        <w:jc w:val="both"/>
        <w:rPr>
          <w:b/>
          <w:i/>
          <w:color w:val="000000"/>
          <w:spacing w:val="-5"/>
          <w:sz w:val="28"/>
          <w:szCs w:val="28"/>
        </w:rPr>
      </w:pPr>
      <w:r>
        <w:rPr>
          <w:b/>
          <w:i/>
          <w:sz w:val="28"/>
          <w:szCs w:val="28"/>
        </w:rPr>
        <w:t xml:space="preserve">Цель - формирование экономически эффективной устойчивой среды, </w:t>
      </w:r>
      <w:r>
        <w:rPr>
          <w:b/>
          <w:i/>
          <w:color w:val="000000"/>
          <w:spacing w:val="-6"/>
          <w:sz w:val="28"/>
          <w:szCs w:val="28"/>
        </w:rPr>
        <w:t xml:space="preserve"> способствующей росту доходности туристской индустрии</w:t>
      </w:r>
      <w:r>
        <w:rPr>
          <w:b/>
          <w:i/>
          <w:color w:val="000000"/>
          <w:spacing w:val="-5"/>
          <w:sz w:val="28"/>
          <w:szCs w:val="28"/>
        </w:rPr>
        <w:t>, увеличения доли в экономике  района  и повышению занятости в сфере туризма.</w:t>
      </w:r>
    </w:p>
    <w:p w:rsidR="00387902" w:rsidRDefault="00387902" w:rsidP="00387902">
      <w:pPr>
        <w:jc w:val="both"/>
        <w:rPr>
          <w:b/>
          <w:i/>
          <w:color w:val="000000"/>
          <w:sz w:val="28"/>
          <w:szCs w:val="28"/>
        </w:rPr>
      </w:pPr>
    </w:p>
    <w:p w:rsidR="00387902" w:rsidRDefault="00387902" w:rsidP="003879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Направление деятельности:</w:t>
      </w:r>
    </w:p>
    <w:p w:rsidR="00387902" w:rsidRDefault="00387902" w:rsidP="00387902">
      <w:pPr>
        <w:tabs>
          <w:tab w:val="left" w:pos="408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Поддержка развития предпринимательства в сфере туризма и, прежде всего, малого и среднего предпринимательства;</w:t>
      </w:r>
    </w:p>
    <w:p w:rsidR="00387902" w:rsidRDefault="00387902" w:rsidP="00387902">
      <w:pPr>
        <w:tabs>
          <w:tab w:val="left" w:pos="408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Стимулирование развития материальной базы туризма путем привлечения инвестиций для создания новых туристских объектов;</w:t>
      </w:r>
    </w:p>
    <w:p w:rsidR="00387902" w:rsidRDefault="00387902" w:rsidP="00387902">
      <w:pPr>
        <w:tabs>
          <w:tab w:val="left" w:pos="408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внедрение прогрессивных методов и стандартов туристского и рекреационного обслуживания;</w:t>
      </w:r>
    </w:p>
    <w:p w:rsidR="00387902" w:rsidRDefault="00387902" w:rsidP="00387902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Проведение активной рекламной деятельности, направленной на формирование имиджа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как привлекательного объекта туризма и продвижение его на краевой, региональный, российский и международный туристские рынки</w:t>
      </w:r>
      <w:proofErr w:type="gramEnd"/>
    </w:p>
    <w:p w:rsidR="00387902" w:rsidRDefault="00387902" w:rsidP="003879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Туризм – одна из важнейших сфер деятельности современной экономики, нацеленная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387902" w:rsidRDefault="00387902" w:rsidP="003879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администрацией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реализуется инвестиционный проект, главной целью которого является  привлечение средств федерального бюджета для  строительства инженерной и обеспечивающей инфраструктуры 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 рекреационного кластера в </w:t>
      </w:r>
      <w:proofErr w:type="spellStart"/>
      <w:r>
        <w:rPr>
          <w:sz w:val="28"/>
          <w:szCs w:val="28"/>
        </w:rPr>
        <w:t>Чановском</w:t>
      </w:r>
      <w:proofErr w:type="spellEnd"/>
      <w:r>
        <w:rPr>
          <w:sz w:val="28"/>
          <w:szCs w:val="28"/>
        </w:rPr>
        <w:t xml:space="preserve"> районе Новосибирской области. Определенные достижения при реализации инвестиционного проекта выполнены в 2015 году - 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 рекреационный кластер в </w:t>
      </w:r>
      <w:proofErr w:type="spellStart"/>
      <w:r>
        <w:rPr>
          <w:sz w:val="28"/>
          <w:szCs w:val="28"/>
        </w:rPr>
        <w:t>Чановском</w:t>
      </w:r>
      <w:proofErr w:type="spellEnd"/>
      <w:r>
        <w:rPr>
          <w:sz w:val="28"/>
          <w:szCs w:val="28"/>
        </w:rPr>
        <w:t xml:space="preserve"> районе Новосибирской области вошел  состав мероприятий Федеральной целевой программы «Развитие внутреннего и въездного туризма в Российской Федерации (2011-2018 годы) на 2015-2018 гг.</w:t>
      </w:r>
    </w:p>
    <w:p w:rsidR="00387902" w:rsidRDefault="00387902" w:rsidP="003879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реализуемого инвестиционного проекта планируются следующие мероприятия:</w:t>
      </w:r>
    </w:p>
    <w:p w:rsidR="00387902" w:rsidRDefault="00387902" w:rsidP="00387902">
      <w:pPr>
        <w:ind w:firstLine="284"/>
        <w:jc w:val="both"/>
        <w:rPr>
          <w:sz w:val="28"/>
          <w:szCs w:val="28"/>
        </w:rPr>
      </w:pPr>
    </w:p>
    <w:tbl>
      <w:tblPr>
        <w:tblW w:w="9435" w:type="dxa"/>
        <w:tblCellMar>
          <w:left w:w="0" w:type="dxa"/>
          <w:right w:w="0" w:type="dxa"/>
        </w:tblCellMar>
        <w:tblLook w:val="04A0"/>
      </w:tblPr>
      <w:tblGrid>
        <w:gridCol w:w="646"/>
        <w:gridCol w:w="5812"/>
        <w:gridCol w:w="2977"/>
      </w:tblGrid>
      <w:tr w:rsidR="00387902" w:rsidTr="00387902">
        <w:trPr>
          <w:trHeight w:val="67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Объем финансирования,</w:t>
            </w:r>
          </w:p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</w:tr>
      <w:tr w:rsidR="00387902" w:rsidTr="00387902">
        <w:trPr>
          <w:trHeight w:val="7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Энергоснабжение объектов </w:t>
            </w:r>
          </w:p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Озеро-Карачинской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Курортной зоны.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635,0</w:t>
            </w:r>
          </w:p>
        </w:tc>
      </w:tr>
      <w:tr w:rsidR="00387902" w:rsidTr="00387902">
        <w:trPr>
          <w:trHeight w:val="121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водоснабжения и </w:t>
            </w:r>
            <w:proofErr w:type="spellStart"/>
            <w:r>
              <w:rPr>
                <w:lang w:eastAsia="en-US"/>
              </w:rPr>
              <w:t>канализирования</w:t>
            </w:r>
            <w:proofErr w:type="spellEnd"/>
            <w:r>
              <w:rPr>
                <w:lang w:eastAsia="en-US"/>
              </w:rPr>
              <w:t xml:space="preserve"> с целью обеспечения функционирования лечебно – оздоровительных объектов Озеро – </w:t>
            </w:r>
            <w:proofErr w:type="spellStart"/>
            <w:r>
              <w:rPr>
                <w:lang w:eastAsia="en-US"/>
              </w:rPr>
              <w:t>Карачинской</w:t>
            </w:r>
            <w:proofErr w:type="spellEnd"/>
            <w:r>
              <w:rPr>
                <w:lang w:eastAsia="en-US"/>
              </w:rPr>
              <w:t xml:space="preserve"> курортной зоны.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225,2</w:t>
            </w:r>
          </w:p>
        </w:tc>
      </w:tr>
      <w:tr w:rsidR="00387902" w:rsidTr="00387902">
        <w:trPr>
          <w:trHeight w:val="1103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улучшению транспортной доступности Озеро – </w:t>
            </w:r>
            <w:proofErr w:type="spellStart"/>
            <w:r>
              <w:rPr>
                <w:lang w:eastAsia="en-US"/>
              </w:rPr>
              <w:t>Карачинской</w:t>
            </w:r>
            <w:proofErr w:type="spellEnd"/>
            <w:r>
              <w:rPr>
                <w:lang w:eastAsia="en-US"/>
              </w:rPr>
              <w:t xml:space="preserve">  курортной зоны: строительство, капитальный ремонт и реконструкция автодорожной сети.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325,7</w:t>
            </w:r>
          </w:p>
        </w:tc>
      </w:tr>
      <w:tr w:rsidR="00387902" w:rsidTr="00387902">
        <w:trPr>
          <w:trHeight w:val="73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газораспределительной станции.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</w:t>
            </w:r>
          </w:p>
        </w:tc>
      </w:tr>
      <w:tr w:rsidR="00387902" w:rsidTr="00387902">
        <w:trPr>
          <w:trHeight w:val="317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1212,9</w:t>
            </w:r>
          </w:p>
        </w:tc>
      </w:tr>
    </w:tbl>
    <w:p w:rsidR="00387902" w:rsidRDefault="00387902" w:rsidP="00387902">
      <w:pPr>
        <w:ind w:firstLine="284"/>
        <w:jc w:val="both"/>
      </w:pPr>
    </w:p>
    <w:p w:rsidR="00387902" w:rsidRDefault="00387902" w:rsidP="00387902">
      <w:pPr>
        <w:ind w:firstLine="284"/>
        <w:jc w:val="right"/>
        <w:rPr>
          <w:szCs w:val="28"/>
        </w:rPr>
      </w:pPr>
    </w:p>
    <w:tbl>
      <w:tblPr>
        <w:tblW w:w="9408" w:type="dxa"/>
        <w:tblCellMar>
          <w:left w:w="0" w:type="dxa"/>
          <w:right w:w="0" w:type="dxa"/>
        </w:tblCellMar>
        <w:tblLook w:val="04A0"/>
      </w:tblPr>
      <w:tblGrid>
        <w:gridCol w:w="903"/>
        <w:gridCol w:w="5670"/>
        <w:gridCol w:w="2835"/>
      </w:tblGrid>
      <w:tr w:rsidR="00387902" w:rsidTr="00387902">
        <w:trPr>
          <w:trHeight w:val="56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 объекта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Объем финансирования из внебюджетных источников, млн. рублей</w:t>
            </w:r>
          </w:p>
        </w:tc>
      </w:tr>
      <w:tr w:rsidR="00387902" w:rsidTr="00387902">
        <w:trPr>
          <w:trHeight w:val="214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здания с теплым переходом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</w:tr>
      <w:tr w:rsidR="00387902" w:rsidTr="00387902">
        <w:trPr>
          <w:trHeight w:val="169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здания </w:t>
            </w:r>
            <w:proofErr w:type="spellStart"/>
            <w:r>
              <w:rPr>
                <w:lang w:eastAsia="en-US"/>
              </w:rPr>
              <w:t>водогрязелечебницы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137,4</w:t>
            </w:r>
          </w:p>
        </w:tc>
      </w:tr>
      <w:tr w:rsidR="00387902" w:rsidTr="00387902">
        <w:trPr>
          <w:trHeight w:val="23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здания клуб - столовая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31,25</w:t>
            </w:r>
          </w:p>
        </w:tc>
      </w:tr>
      <w:tr w:rsidR="00387902" w:rsidTr="00387902">
        <w:trPr>
          <w:trHeight w:val="20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здания прачечной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7,28</w:t>
            </w:r>
          </w:p>
        </w:tc>
      </w:tr>
      <w:tr w:rsidR="00387902" w:rsidTr="00387902">
        <w:trPr>
          <w:trHeight w:val="19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здания спального корпуса № 1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</w:tr>
      <w:tr w:rsidR="00387902" w:rsidTr="00387902">
        <w:trPr>
          <w:trHeight w:val="244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спального корпуса № 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34,42</w:t>
            </w:r>
          </w:p>
        </w:tc>
      </w:tr>
      <w:tr w:rsidR="00387902" w:rsidTr="00387902">
        <w:trPr>
          <w:trHeight w:val="2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Благоустройство, проезды и тротуары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7,86</w:t>
            </w:r>
          </w:p>
        </w:tc>
      </w:tr>
      <w:tr w:rsidR="00387902" w:rsidTr="00387902">
        <w:trPr>
          <w:trHeight w:val="15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Ограждения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2,84</w:t>
            </w:r>
          </w:p>
        </w:tc>
      </w:tr>
      <w:tr w:rsidR="00387902" w:rsidTr="00387902">
        <w:trPr>
          <w:trHeight w:val="2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теплых переходов к зданиям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24,3</w:t>
            </w:r>
          </w:p>
        </w:tc>
      </w:tr>
      <w:tr w:rsidR="00387902" w:rsidTr="00387902">
        <w:trPr>
          <w:trHeight w:val="26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диагностического блока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387902" w:rsidTr="00387902">
        <w:trPr>
          <w:trHeight w:val="36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медицинского оборудования для осуществления </w:t>
            </w:r>
            <w:proofErr w:type="spellStart"/>
            <w:r>
              <w:rPr>
                <w:lang w:eastAsia="en-US"/>
              </w:rPr>
              <w:t>санаторно</w:t>
            </w:r>
            <w:proofErr w:type="spellEnd"/>
            <w:r>
              <w:rPr>
                <w:lang w:eastAsia="en-US"/>
              </w:rPr>
              <w:t xml:space="preserve"> – курортной деятельности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</w:tr>
      <w:tr w:rsidR="00387902" w:rsidTr="00387902">
        <w:trPr>
          <w:trHeight w:val="164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спортивного оборудования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6</w:t>
            </w:r>
          </w:p>
        </w:tc>
      </w:tr>
      <w:tr w:rsidR="00387902" w:rsidTr="00387902">
        <w:trPr>
          <w:trHeight w:val="167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Вспомогательное оборудование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10,71</w:t>
            </w:r>
          </w:p>
        </w:tc>
      </w:tr>
      <w:tr w:rsidR="00387902" w:rsidTr="00387902">
        <w:trPr>
          <w:trHeight w:val="2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спортивного комплекса с аквапарком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168,9</w:t>
            </w:r>
          </w:p>
        </w:tc>
      </w:tr>
      <w:tr w:rsidR="00387902" w:rsidTr="00387902">
        <w:trPr>
          <w:trHeight w:val="2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йодобромного</w:t>
            </w:r>
            <w:proofErr w:type="spellEnd"/>
            <w:r>
              <w:rPr>
                <w:lang w:eastAsia="en-US"/>
              </w:rPr>
              <w:t xml:space="preserve"> бассейна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387902" w:rsidTr="00387902">
        <w:trPr>
          <w:trHeight w:val="314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16.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спортивных площадок, велосипедных дорожек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</w:tr>
      <w:tr w:rsidR="00387902" w:rsidTr="00387902">
        <w:trPr>
          <w:trHeight w:val="25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17.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Программное обеспечение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387902" w:rsidTr="00387902">
        <w:trPr>
          <w:trHeight w:val="22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18.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Автотранспорт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14,44</w:t>
            </w:r>
          </w:p>
        </w:tc>
      </w:tr>
      <w:tr w:rsidR="00387902" w:rsidTr="00387902">
        <w:trPr>
          <w:trHeight w:val="19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Дом отдыха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98,47</w:t>
            </w:r>
          </w:p>
        </w:tc>
      </w:tr>
      <w:tr w:rsidR="00387902" w:rsidTr="00387902">
        <w:trPr>
          <w:trHeight w:val="113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Жилые дома для отдыхающих, дом фермера с </w:t>
            </w:r>
            <w:proofErr w:type="spellStart"/>
            <w:r>
              <w:rPr>
                <w:lang w:eastAsia="en-US"/>
              </w:rPr>
              <w:t>хозпостройками</w:t>
            </w:r>
            <w:proofErr w:type="spellEnd"/>
            <w:r>
              <w:rPr>
                <w:lang w:eastAsia="en-US"/>
              </w:rPr>
              <w:t xml:space="preserve">, хозяйственно-питьевое водоснабжение, спальный корпус на 60 мест, </w:t>
            </w:r>
            <w:r>
              <w:rPr>
                <w:lang w:eastAsia="en-US"/>
              </w:rPr>
              <w:lastRenderedPageBreak/>
              <w:t xml:space="preserve">столовая, прачечная, </w:t>
            </w:r>
            <w:proofErr w:type="spellStart"/>
            <w:r>
              <w:rPr>
                <w:lang w:eastAsia="en-US"/>
              </w:rPr>
              <w:t>защитно-ограждение</w:t>
            </w:r>
            <w:proofErr w:type="spellEnd"/>
            <w:r>
              <w:rPr>
                <w:lang w:eastAsia="en-US"/>
              </w:rPr>
              <w:t xml:space="preserve">, мебель, бытовая техника, спортивный и </w:t>
            </w:r>
            <w:proofErr w:type="spellStart"/>
            <w:r>
              <w:rPr>
                <w:lang w:eastAsia="en-US"/>
              </w:rPr>
              <w:t>хоз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нвентарь</w:t>
            </w:r>
            <w:proofErr w:type="spellEnd"/>
            <w:r>
              <w:rPr>
                <w:lang w:eastAsia="en-US"/>
              </w:rPr>
              <w:t xml:space="preserve">, электроснабжение - наружные сети, транспортные средства, машины и оборудование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28,44</w:t>
            </w:r>
          </w:p>
        </w:tc>
      </w:tr>
      <w:tr w:rsidR="00387902" w:rsidTr="00387902">
        <w:trPr>
          <w:trHeight w:val="21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21.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Баня, летняя душевая, сауна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387902" w:rsidTr="00387902">
        <w:trPr>
          <w:trHeight w:val="227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87902" w:rsidRDefault="00387902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87902" w:rsidRDefault="00387902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839,11</w:t>
            </w:r>
          </w:p>
        </w:tc>
      </w:tr>
    </w:tbl>
    <w:p w:rsidR="00387902" w:rsidRDefault="00387902" w:rsidP="00387902">
      <w:pPr>
        <w:ind w:firstLine="284"/>
        <w:jc w:val="both"/>
        <w:rPr>
          <w:szCs w:val="28"/>
        </w:rPr>
      </w:pPr>
    </w:p>
    <w:p w:rsidR="00387902" w:rsidRDefault="00387902" w:rsidP="00387902">
      <w:pPr>
        <w:jc w:val="center"/>
        <w:rPr>
          <w:b/>
          <w:color w:val="000000"/>
          <w:sz w:val="28"/>
          <w:szCs w:val="28"/>
        </w:rPr>
      </w:pPr>
    </w:p>
    <w:p w:rsidR="00387902" w:rsidRDefault="00387902" w:rsidP="003879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Труд, демография и занятость населения</w:t>
      </w:r>
    </w:p>
    <w:p w:rsidR="00387902" w:rsidRDefault="00387902" w:rsidP="00387902">
      <w:pPr>
        <w:ind w:firstLine="709"/>
        <w:jc w:val="both"/>
        <w:rPr>
          <w:b/>
          <w:i/>
          <w:sz w:val="28"/>
          <w:szCs w:val="28"/>
        </w:rPr>
      </w:pPr>
    </w:p>
    <w:p w:rsidR="00387902" w:rsidRDefault="00387902" w:rsidP="00387902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развитие и эффективное использование трудового потенциала района, восстановление воспроизводственной и стимулирующей функций заработной платы, создание условий для реализации трудовых прав граждан.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деятельности: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реализация Указов Президента Российской Федерации от 07.05.2012 г. № 597 «О мероприятиях по реализации государственной социальной политики» и от 01.06.2012 г. № 761 «О Национальной стратегии действий в интересах детей на 2012-2017 годы»; 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внедрение регионального соглашения о минимальной заработной плате,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применением отраслевых систем оплаты труда, легализация  неформальной оплаты труда;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реальных доходов населения; 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кадрового потенциала, увеличение эффективных рабочих мест.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</w:p>
    <w:tbl>
      <w:tblPr>
        <w:tblW w:w="9750" w:type="dxa"/>
        <w:tblLayout w:type="fixed"/>
        <w:tblLook w:val="01E0"/>
      </w:tblPr>
      <w:tblGrid>
        <w:gridCol w:w="3294"/>
        <w:gridCol w:w="1212"/>
        <w:gridCol w:w="992"/>
        <w:gridCol w:w="1134"/>
        <w:gridCol w:w="1134"/>
        <w:gridCol w:w="969"/>
        <w:gridCol w:w="1015"/>
      </w:tblGrid>
      <w:tr w:rsidR="00387902" w:rsidTr="00387902">
        <w:trPr>
          <w:tblHeader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</w:tr>
      <w:tr w:rsidR="00387902" w:rsidTr="00387902">
        <w:trPr>
          <w:tblHeader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02" w:rsidRDefault="0038790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387902" w:rsidTr="0038790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Среднегодовая численность постоянного населения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26 450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26 450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26 450</w:t>
            </w:r>
          </w:p>
        </w:tc>
      </w:tr>
      <w:tr w:rsidR="00387902" w:rsidTr="0038790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</w:t>
            </w:r>
            <w:proofErr w:type="gramStart"/>
            <w:r>
              <w:rPr>
                <w:lang w:eastAsia="en-US"/>
              </w:rPr>
              <w:t>занятых</w:t>
            </w:r>
            <w:proofErr w:type="gramEnd"/>
            <w:r>
              <w:rPr>
                <w:lang w:eastAsia="en-US"/>
              </w:rPr>
              <w:t xml:space="preserve"> в экономике 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11 110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11 125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11 135</w:t>
            </w:r>
          </w:p>
        </w:tc>
      </w:tr>
      <w:tr w:rsidR="00387902" w:rsidTr="0038790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 регистрируемой безработицы, 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</w:tr>
      <w:tr w:rsidR="00387902" w:rsidTr="0038790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02" w:rsidRDefault="00387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18316</w:t>
            </w:r>
          </w:p>
        </w:tc>
      </w:tr>
    </w:tbl>
    <w:p w:rsidR="00387902" w:rsidRDefault="00387902" w:rsidP="00387902">
      <w:pPr>
        <w:jc w:val="both"/>
        <w:rPr>
          <w:color w:val="000000"/>
        </w:rPr>
      </w:pPr>
    </w:p>
    <w:p w:rsidR="00387902" w:rsidRDefault="00387902" w:rsidP="00387902">
      <w:pPr>
        <w:pStyle w:val="a9"/>
        <w:spacing w:after="0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2015 году ситуация на рынке труда, регулируемая мероприятиями по содействию занятости населения, и постепенное развитие экономики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обеспечили положительную динамику роста </w:t>
      </w:r>
      <w:proofErr w:type="gramStart"/>
      <w:r>
        <w:rPr>
          <w:color w:val="000000"/>
          <w:sz w:val="28"/>
          <w:szCs w:val="28"/>
        </w:rPr>
        <w:t>занятых</w:t>
      </w:r>
      <w:proofErr w:type="gramEnd"/>
      <w:r>
        <w:rPr>
          <w:color w:val="000000"/>
          <w:sz w:val="28"/>
          <w:szCs w:val="28"/>
        </w:rPr>
        <w:t xml:space="preserve"> и снижение безработицы.  Общая численность занятого в экономике района населения в 2014 году составила 11 082  человека. Ожидаемая численность занятых в экономике  в 2015 году составит 11 096  чел. (100,13% к уровню 2014 года).  Уровень официально регистрируемой безработицы снизился с </w:t>
      </w:r>
      <w:r>
        <w:rPr>
          <w:color w:val="000000"/>
          <w:sz w:val="28"/>
          <w:szCs w:val="28"/>
        </w:rPr>
        <w:lastRenderedPageBreak/>
        <w:t xml:space="preserve">3,5% до 2,9%.  </w:t>
      </w:r>
      <w:r>
        <w:rPr>
          <w:sz w:val="28"/>
          <w:szCs w:val="28"/>
        </w:rPr>
        <w:t>В связи с одним из высоких уровней безработицы в Новосибирской области, за 9 месяцев 2015 года проведены следующие мероприятия: трудоустроено -  664 чел., профессиональная ориентация – 854 чел., социальная адаптация – 91  чел., психологическая поддержка – 90 чел.</w:t>
      </w:r>
    </w:p>
    <w:p w:rsidR="00387902" w:rsidRDefault="00387902" w:rsidP="003879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Среднесписочная численность работников предприятий и организаций составила  8 279 (-3 чел. к предыдущему году).  В 2016 году и плановом периоде  2017-2018  годов на рынке труда не ожидается резких колебаний. В районе сохраняется положительная динамика среднемесячной номинальной заработной платы. Прогнозируемый размер среднемесячной заработной платы в 2015 году составит 16 285  руб. (101,2%  к уровню 2014 года), в 2016 году – 16 741 руб.(104,8% к уровню 2014 года),  2017 году – 17 511  руб. (109,7% к  уровню 2014 года), в  2018 году  18 316 руб. (114,7% к уровню 2014 года).</w:t>
      </w:r>
    </w:p>
    <w:p w:rsidR="00387902" w:rsidRDefault="00387902" w:rsidP="00387902">
      <w:pPr>
        <w:jc w:val="center"/>
        <w:rPr>
          <w:b/>
          <w:sz w:val="28"/>
          <w:szCs w:val="28"/>
        </w:rPr>
      </w:pPr>
    </w:p>
    <w:p w:rsidR="00387902" w:rsidRDefault="00387902" w:rsidP="003879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Ключевым условием устойчивого социально – экономического развития района на среднесрочную перспективу является улучшение инвестиционного климата и увеличение темпов роста производства во всех сферах.</w:t>
      </w:r>
    </w:p>
    <w:p w:rsidR="00387902" w:rsidRDefault="00387902" w:rsidP="00387902">
      <w:pPr>
        <w:pStyle w:val="ab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87902" w:rsidRDefault="00387902" w:rsidP="00387902">
      <w:pPr>
        <w:pStyle w:val="ab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87902" w:rsidRDefault="00387902" w:rsidP="00387902">
      <w:pPr>
        <w:pStyle w:val="ab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87902" w:rsidRDefault="00387902" w:rsidP="00387902">
      <w:pPr>
        <w:pStyle w:val="ab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sectPr w:rsidR="00387902" w:rsidSect="0038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F35"/>
    <w:multiLevelType w:val="hybridMultilevel"/>
    <w:tmpl w:val="DC30CE90"/>
    <w:lvl w:ilvl="0" w:tplc="CCF4527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D7F78A7"/>
    <w:multiLevelType w:val="hybridMultilevel"/>
    <w:tmpl w:val="1F1841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CA"/>
    <w:rsid w:val="00087760"/>
    <w:rsid w:val="001D7BE3"/>
    <w:rsid w:val="003273D5"/>
    <w:rsid w:val="003719F1"/>
    <w:rsid w:val="00387902"/>
    <w:rsid w:val="003F5FD9"/>
    <w:rsid w:val="005028A2"/>
    <w:rsid w:val="006030B0"/>
    <w:rsid w:val="006420FE"/>
    <w:rsid w:val="00650108"/>
    <w:rsid w:val="006E2EC1"/>
    <w:rsid w:val="007115F6"/>
    <w:rsid w:val="007A53CB"/>
    <w:rsid w:val="007A6DBE"/>
    <w:rsid w:val="008116A4"/>
    <w:rsid w:val="008577F7"/>
    <w:rsid w:val="00902C24"/>
    <w:rsid w:val="0092172B"/>
    <w:rsid w:val="00996F31"/>
    <w:rsid w:val="009C7CCA"/>
    <w:rsid w:val="009D055C"/>
    <w:rsid w:val="009F45DE"/>
    <w:rsid w:val="00A454F9"/>
    <w:rsid w:val="00A70D5D"/>
    <w:rsid w:val="00AC55D2"/>
    <w:rsid w:val="00BC5F58"/>
    <w:rsid w:val="00CA6658"/>
    <w:rsid w:val="00E01BB5"/>
    <w:rsid w:val="00EB6447"/>
    <w:rsid w:val="00EF5491"/>
    <w:rsid w:val="00F56596"/>
    <w:rsid w:val="00F8650F"/>
    <w:rsid w:val="00FD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7CC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C7C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9C7CC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C7CC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C7C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9C7CCA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">
    <w:name w:val="Стиль1"/>
    <w:basedOn w:val="a"/>
    <w:link w:val="10"/>
    <w:qFormat/>
    <w:rsid w:val="009C7CCA"/>
    <w:pPr>
      <w:jc w:val="center"/>
    </w:pPr>
    <w:rPr>
      <w:b/>
      <w:bCs/>
      <w:sz w:val="28"/>
      <w:szCs w:val="28"/>
    </w:rPr>
  </w:style>
  <w:style w:type="character" w:customStyle="1" w:styleId="10">
    <w:name w:val="Стиль1 Знак"/>
    <w:link w:val="1"/>
    <w:rsid w:val="009C7C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9C7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A53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5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ОТСТУП"/>
    <w:basedOn w:val="a"/>
    <w:rsid w:val="00CA6658"/>
    <w:pPr>
      <w:widowControl w:val="0"/>
      <w:numPr>
        <w:ilvl w:val="12"/>
      </w:numPr>
      <w:autoSpaceDE w:val="0"/>
      <w:autoSpaceDN w:val="0"/>
      <w:ind w:firstLine="709"/>
      <w:jc w:val="center"/>
    </w:pPr>
  </w:style>
  <w:style w:type="paragraph" w:styleId="a9">
    <w:name w:val="Body Text Indent"/>
    <w:basedOn w:val="a"/>
    <w:link w:val="aa"/>
    <w:uiPriority w:val="99"/>
    <w:semiHidden/>
    <w:unhideWhenUsed/>
    <w:rsid w:val="001D7BE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D7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87902"/>
    <w:pPr>
      <w:jc w:val="center"/>
    </w:pPr>
    <w:rPr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rsid w:val="00387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2015-11-26T04:17:00Z</cp:lastPrinted>
  <dcterms:created xsi:type="dcterms:W3CDTF">2014-11-21T11:36:00Z</dcterms:created>
  <dcterms:modified xsi:type="dcterms:W3CDTF">2015-12-02T08:16:00Z</dcterms:modified>
</cp:coreProperties>
</file>